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58E14" w14:textId="77777777" w:rsidR="00C91690" w:rsidRPr="0056268B" w:rsidRDefault="00C91690" w:rsidP="00B02396">
      <w:pPr>
        <w:spacing w:line="360" w:lineRule="auto"/>
        <w:ind w:left="57" w:right="1418"/>
        <w:jc w:val="both"/>
        <w:rPr>
          <w:rFonts w:ascii="Arial" w:hAnsi="Arial" w:cs="Arial"/>
          <w:sz w:val="22"/>
          <w:szCs w:val="22"/>
        </w:rPr>
      </w:pPr>
    </w:p>
    <w:p w14:paraId="4DE88236" w14:textId="77777777" w:rsidR="00C91690" w:rsidRPr="0056268B" w:rsidRDefault="00C91690" w:rsidP="00B02396">
      <w:pPr>
        <w:pStyle w:val="Titolo"/>
        <w:ind w:left="57" w:right="1418"/>
        <w:rPr>
          <w:rFonts w:cs="Arial"/>
          <w:szCs w:val="22"/>
        </w:rPr>
      </w:pPr>
      <w:r w:rsidRPr="0056268B">
        <w:rPr>
          <w:rFonts w:cs="Arial"/>
          <w:szCs w:val="22"/>
        </w:rPr>
        <w:t>TRIBUNALE DI SALERNO</w:t>
      </w:r>
    </w:p>
    <w:p w14:paraId="6BD82FA6" w14:textId="77777777" w:rsidR="00C91690" w:rsidRPr="0056268B" w:rsidRDefault="00C91690" w:rsidP="00B02396">
      <w:pPr>
        <w:pStyle w:val="Titolo1"/>
        <w:spacing w:line="360" w:lineRule="auto"/>
        <w:ind w:left="57" w:right="1418"/>
        <w:rPr>
          <w:rFonts w:ascii="Arial" w:hAnsi="Arial" w:cs="Arial"/>
          <w:b w:val="0"/>
          <w:i/>
          <w:spacing w:val="0"/>
          <w:sz w:val="22"/>
          <w:szCs w:val="22"/>
        </w:rPr>
      </w:pPr>
      <w:r w:rsidRPr="0056268B">
        <w:rPr>
          <w:rFonts w:ascii="Arial" w:hAnsi="Arial" w:cs="Arial"/>
          <w:b w:val="0"/>
          <w:i/>
          <w:spacing w:val="0"/>
          <w:sz w:val="22"/>
          <w:szCs w:val="22"/>
        </w:rPr>
        <w:t>Al Giudice Unico in funzione di Giudice del Lavoro</w:t>
      </w:r>
    </w:p>
    <w:p w14:paraId="5FA8F1EF" w14:textId="77777777" w:rsidR="00C91690" w:rsidRPr="0056268B" w:rsidRDefault="00C91690" w:rsidP="00B02396">
      <w:pPr>
        <w:spacing w:line="360" w:lineRule="auto"/>
        <w:ind w:left="57" w:right="1418"/>
        <w:jc w:val="both"/>
        <w:rPr>
          <w:rFonts w:ascii="Arial" w:hAnsi="Arial" w:cs="Arial"/>
          <w:sz w:val="22"/>
          <w:szCs w:val="22"/>
        </w:rPr>
      </w:pPr>
    </w:p>
    <w:p w14:paraId="7338B4CA" w14:textId="77777777" w:rsidR="00BD47F7" w:rsidRDefault="00BD47F7" w:rsidP="00B02396">
      <w:pPr>
        <w:widowControl w:val="0"/>
        <w:autoSpaceDE w:val="0"/>
        <w:autoSpaceDN w:val="0"/>
        <w:adjustRightInd w:val="0"/>
        <w:spacing w:after="240" w:line="360" w:lineRule="auto"/>
        <w:ind w:left="57" w:right="1418"/>
        <w:jc w:val="center"/>
        <w:rPr>
          <w:rFonts w:ascii="Arial" w:hAnsi="Arial" w:cs="Arial"/>
          <w:b/>
          <w:spacing w:val="40"/>
          <w:sz w:val="22"/>
          <w:szCs w:val="22"/>
        </w:rPr>
      </w:pPr>
      <w:r w:rsidRPr="00BD47F7">
        <w:rPr>
          <w:rFonts w:ascii="Arial" w:hAnsi="Arial" w:cs="Arial"/>
          <w:b/>
          <w:spacing w:val="40"/>
          <w:sz w:val="22"/>
          <w:szCs w:val="22"/>
        </w:rPr>
        <w:t>RICORSO EX ART. 414 C.P.C. </w:t>
      </w:r>
    </w:p>
    <w:p w14:paraId="421BE743" w14:textId="77777777" w:rsidR="004B7E79" w:rsidRDefault="00BD47F7" w:rsidP="00B02396">
      <w:pPr>
        <w:widowControl w:val="0"/>
        <w:autoSpaceDE w:val="0"/>
        <w:autoSpaceDN w:val="0"/>
        <w:adjustRightInd w:val="0"/>
        <w:spacing w:after="240" w:line="360" w:lineRule="auto"/>
        <w:ind w:left="57" w:right="1418"/>
        <w:jc w:val="center"/>
        <w:rPr>
          <w:rFonts w:ascii="Arial" w:hAnsi="Arial" w:cs="Arial"/>
          <w:b/>
          <w:spacing w:val="40"/>
          <w:sz w:val="22"/>
          <w:szCs w:val="22"/>
        </w:rPr>
      </w:pPr>
      <w:r w:rsidRPr="00BD47F7">
        <w:rPr>
          <w:rFonts w:ascii="Arial" w:hAnsi="Arial" w:cs="Arial"/>
          <w:b/>
          <w:spacing w:val="40"/>
          <w:sz w:val="22"/>
          <w:szCs w:val="22"/>
        </w:rPr>
        <w:t xml:space="preserve">CON </w:t>
      </w:r>
      <w:r w:rsidR="006E11ED">
        <w:rPr>
          <w:rFonts w:ascii="Arial" w:hAnsi="Arial" w:cs="Arial"/>
          <w:b/>
          <w:spacing w:val="40"/>
          <w:sz w:val="22"/>
          <w:szCs w:val="22"/>
        </w:rPr>
        <w:t>ISTANZA CAUTELARE</w:t>
      </w:r>
      <w:r w:rsidR="004B7E79">
        <w:rPr>
          <w:rFonts w:ascii="Arial" w:hAnsi="Arial" w:cs="Arial"/>
          <w:b/>
          <w:spacing w:val="40"/>
          <w:sz w:val="22"/>
          <w:szCs w:val="22"/>
        </w:rPr>
        <w:t xml:space="preserve"> IN CORSO DI CAUSA ANCHE INAUDITA ALTERA PARTE EX ART. 700 E 669 QUATER C.P.C.</w:t>
      </w:r>
    </w:p>
    <w:p w14:paraId="476AF9EA" w14:textId="46B7DD0B" w:rsidR="00BD47F7" w:rsidRPr="00BD47F7" w:rsidRDefault="001E0E15" w:rsidP="00B02396">
      <w:pPr>
        <w:widowControl w:val="0"/>
        <w:autoSpaceDE w:val="0"/>
        <w:autoSpaceDN w:val="0"/>
        <w:adjustRightInd w:val="0"/>
        <w:spacing w:after="240" w:line="360" w:lineRule="auto"/>
        <w:ind w:left="57" w:right="1418"/>
        <w:jc w:val="center"/>
        <w:rPr>
          <w:rFonts w:ascii="Arial" w:hAnsi="Arial" w:cs="Arial"/>
          <w:b/>
          <w:spacing w:val="40"/>
          <w:sz w:val="22"/>
          <w:szCs w:val="22"/>
        </w:rPr>
      </w:pPr>
      <w:r>
        <w:rPr>
          <w:rFonts w:ascii="Arial" w:hAnsi="Arial" w:cs="Arial"/>
          <w:b/>
          <w:spacing w:val="40"/>
          <w:sz w:val="22"/>
          <w:szCs w:val="22"/>
        </w:rPr>
        <w:t xml:space="preserve">E </w:t>
      </w:r>
      <w:r w:rsidR="00BD47F7" w:rsidRPr="00BD47F7">
        <w:rPr>
          <w:rFonts w:ascii="Arial" w:hAnsi="Arial" w:cs="Arial"/>
          <w:b/>
          <w:spacing w:val="40"/>
          <w:sz w:val="22"/>
          <w:szCs w:val="22"/>
        </w:rPr>
        <w:t>RICHIESTA DI AUTORIZZAZIONE ALLA NOTIFICA NEI CONFRONTI DEI LITISCONSORTI AI SENSI DELL’ART. 151 C.P.C.</w:t>
      </w:r>
    </w:p>
    <w:p w14:paraId="597FC7FB" w14:textId="33A41E7B" w:rsidR="00C91690" w:rsidRPr="0056268B" w:rsidRDefault="00C91690" w:rsidP="00B02396">
      <w:pPr>
        <w:widowControl w:val="0"/>
        <w:spacing w:line="360" w:lineRule="auto"/>
        <w:ind w:left="57" w:right="1418"/>
        <w:jc w:val="both"/>
        <w:rPr>
          <w:rFonts w:ascii="Arial" w:hAnsi="Arial" w:cs="Arial"/>
          <w:sz w:val="22"/>
          <w:szCs w:val="22"/>
        </w:rPr>
      </w:pPr>
      <w:r w:rsidRPr="0056268B">
        <w:rPr>
          <w:rFonts w:ascii="Arial" w:hAnsi="Arial" w:cs="Arial"/>
          <w:b/>
          <w:sz w:val="22"/>
          <w:szCs w:val="22"/>
        </w:rPr>
        <w:t>Per:</w:t>
      </w:r>
      <w:r w:rsidR="00FC6CC6">
        <w:rPr>
          <w:rFonts w:ascii="Arial" w:hAnsi="Arial" w:cs="Arial"/>
          <w:sz w:val="22"/>
          <w:szCs w:val="22"/>
        </w:rPr>
        <w:t xml:space="preserve"> </w:t>
      </w:r>
      <w:r w:rsidR="00B02396">
        <w:rPr>
          <w:rFonts w:ascii="Arial" w:hAnsi="Arial" w:cs="Arial"/>
          <w:sz w:val="22"/>
          <w:szCs w:val="22"/>
        </w:rPr>
        <w:t>La</w:t>
      </w:r>
      <w:r w:rsidR="00FC6CC6">
        <w:rPr>
          <w:rFonts w:ascii="Arial" w:hAnsi="Arial" w:cs="Arial"/>
          <w:sz w:val="22"/>
          <w:szCs w:val="22"/>
        </w:rPr>
        <w:t xml:space="preserve"> sig.</w:t>
      </w:r>
      <w:r w:rsidR="00B02396">
        <w:rPr>
          <w:rFonts w:ascii="Arial" w:hAnsi="Arial" w:cs="Arial"/>
          <w:sz w:val="22"/>
          <w:szCs w:val="22"/>
        </w:rPr>
        <w:t>ra</w:t>
      </w:r>
      <w:r w:rsidR="00FC6CC6">
        <w:rPr>
          <w:rFonts w:ascii="Arial" w:hAnsi="Arial" w:cs="Arial"/>
          <w:sz w:val="22"/>
          <w:szCs w:val="22"/>
        </w:rPr>
        <w:t xml:space="preserve"> </w:t>
      </w:r>
      <w:r w:rsidR="00B02396">
        <w:rPr>
          <w:rFonts w:ascii="Arial" w:hAnsi="Arial" w:cs="Arial"/>
          <w:b/>
          <w:sz w:val="22"/>
          <w:szCs w:val="22"/>
        </w:rPr>
        <w:t>Lucia Procida</w:t>
      </w:r>
      <w:r w:rsidR="00B02396">
        <w:rPr>
          <w:rFonts w:ascii="Arial" w:hAnsi="Arial" w:cs="Arial"/>
          <w:sz w:val="22"/>
          <w:szCs w:val="22"/>
        </w:rPr>
        <w:t>, nata</w:t>
      </w:r>
      <w:r w:rsidRPr="0056268B">
        <w:rPr>
          <w:rFonts w:ascii="Arial" w:hAnsi="Arial" w:cs="Arial"/>
          <w:sz w:val="22"/>
          <w:szCs w:val="22"/>
        </w:rPr>
        <w:t xml:space="preserve"> a </w:t>
      </w:r>
      <w:r w:rsidR="00B02396">
        <w:rPr>
          <w:rFonts w:ascii="Arial" w:hAnsi="Arial" w:cs="Arial"/>
          <w:sz w:val="22"/>
          <w:szCs w:val="22"/>
        </w:rPr>
        <w:t>Giffoni Sei Casali</w:t>
      </w:r>
      <w:r w:rsidRPr="0056268B">
        <w:rPr>
          <w:rFonts w:ascii="Arial" w:hAnsi="Arial" w:cs="Arial"/>
          <w:sz w:val="22"/>
          <w:szCs w:val="22"/>
        </w:rPr>
        <w:t xml:space="preserve"> (</w:t>
      </w:r>
      <w:r w:rsidR="00B02396">
        <w:rPr>
          <w:rFonts w:ascii="Arial" w:hAnsi="Arial" w:cs="Arial"/>
          <w:sz w:val="22"/>
          <w:szCs w:val="22"/>
        </w:rPr>
        <w:t>SA</w:t>
      </w:r>
      <w:r w:rsidRPr="0056268B">
        <w:rPr>
          <w:rFonts w:ascii="Arial" w:hAnsi="Arial" w:cs="Arial"/>
          <w:sz w:val="22"/>
          <w:szCs w:val="22"/>
        </w:rPr>
        <w:t xml:space="preserve">)  il </w:t>
      </w:r>
      <w:r w:rsidR="00B02396">
        <w:rPr>
          <w:rFonts w:ascii="Arial" w:hAnsi="Arial" w:cs="Arial"/>
          <w:sz w:val="22"/>
          <w:szCs w:val="22"/>
        </w:rPr>
        <w:t>08.01.1972</w:t>
      </w:r>
      <w:r w:rsidRPr="0056268B">
        <w:rPr>
          <w:rFonts w:ascii="Arial" w:hAnsi="Arial" w:cs="Arial"/>
          <w:sz w:val="22"/>
          <w:szCs w:val="22"/>
        </w:rPr>
        <w:t xml:space="preserve">, </w:t>
      </w:r>
      <w:r w:rsidR="00B02396">
        <w:rPr>
          <w:rFonts w:ascii="Arial" w:hAnsi="Arial" w:cs="Arial"/>
          <w:sz w:val="22"/>
          <w:szCs w:val="22"/>
        </w:rPr>
        <w:t>ed ivi</w:t>
      </w:r>
      <w:r w:rsidRPr="0056268B">
        <w:rPr>
          <w:rFonts w:ascii="Arial" w:hAnsi="Arial" w:cs="Arial"/>
          <w:sz w:val="22"/>
          <w:szCs w:val="22"/>
        </w:rPr>
        <w:t xml:space="preserve"> residente </w:t>
      </w:r>
      <w:r w:rsidR="00FC6CC6">
        <w:rPr>
          <w:rFonts w:ascii="Arial" w:hAnsi="Arial" w:cs="Arial"/>
          <w:sz w:val="22"/>
          <w:szCs w:val="22"/>
        </w:rPr>
        <w:t xml:space="preserve">alla Via </w:t>
      </w:r>
      <w:r w:rsidR="00B02396">
        <w:rPr>
          <w:rFonts w:ascii="Arial" w:hAnsi="Arial" w:cs="Arial"/>
          <w:sz w:val="22"/>
          <w:szCs w:val="22"/>
        </w:rPr>
        <w:t>Luonghi</w:t>
      </w:r>
      <w:r w:rsidR="007323D3">
        <w:rPr>
          <w:rFonts w:ascii="Arial" w:hAnsi="Arial" w:cs="Arial"/>
          <w:sz w:val="22"/>
          <w:szCs w:val="22"/>
        </w:rPr>
        <w:t>,</w:t>
      </w:r>
      <w:r w:rsidR="00B02396">
        <w:rPr>
          <w:rFonts w:ascii="Arial" w:hAnsi="Arial" w:cs="Arial"/>
          <w:sz w:val="22"/>
          <w:szCs w:val="22"/>
        </w:rPr>
        <w:t xml:space="preserve"> 13</w:t>
      </w:r>
      <w:r w:rsidR="007323D3">
        <w:rPr>
          <w:rFonts w:ascii="Arial" w:hAnsi="Arial" w:cs="Arial"/>
          <w:sz w:val="22"/>
          <w:szCs w:val="22"/>
        </w:rPr>
        <w:t xml:space="preserve"> </w:t>
      </w:r>
      <w:r w:rsidRPr="0056268B">
        <w:rPr>
          <w:rFonts w:ascii="Arial" w:hAnsi="Arial" w:cs="Arial"/>
          <w:sz w:val="22"/>
          <w:szCs w:val="22"/>
        </w:rPr>
        <w:t xml:space="preserve">CF: </w:t>
      </w:r>
      <w:r w:rsidR="00B02396">
        <w:rPr>
          <w:rFonts w:ascii="Arial" w:hAnsi="Arial" w:cs="Arial"/>
          <w:sz w:val="22"/>
          <w:szCs w:val="22"/>
        </w:rPr>
        <w:t>PRCLCU72A48E026W, rappresentata e difesa</w:t>
      </w:r>
      <w:r w:rsidRPr="0056268B">
        <w:rPr>
          <w:rFonts w:ascii="Arial" w:hAnsi="Arial" w:cs="Arial"/>
          <w:sz w:val="22"/>
          <w:szCs w:val="22"/>
        </w:rPr>
        <w:t xml:space="preserve">, giusta di mandato a margine del presente ricorso, dall'Avv. Maddalena Sisinni C.F. SSNMDL78T50E919Q, PEC </w:t>
      </w:r>
      <w:hyperlink r:id="rId8" w:history="1">
        <w:r w:rsidRPr="0056268B">
          <w:rPr>
            <w:rStyle w:val="Collegamentoipertestuale"/>
            <w:rFonts w:ascii="Arial" w:hAnsi="Arial" w:cs="Arial"/>
            <w:sz w:val="22"/>
            <w:szCs w:val="22"/>
          </w:rPr>
          <w:t>avvmaddalenasisinni@pec.ordineforense.salerno.it</w:t>
        </w:r>
      </w:hyperlink>
      <w:r w:rsidRPr="0056268B">
        <w:rPr>
          <w:rFonts w:ascii="Arial" w:hAnsi="Arial" w:cs="Arial"/>
          <w:sz w:val="22"/>
          <w:szCs w:val="22"/>
        </w:rPr>
        <w:t xml:space="preserve"> e dall’avv. Giuliana Alati, C.F. LTAGLN68L71F138E Pec: </w:t>
      </w:r>
      <w:hyperlink r:id="rId9" w:tooltip="g.alati@avvocatinocera-pec.it" w:history="1">
        <w:r w:rsidRPr="0056268B">
          <w:rPr>
            <w:rStyle w:val="Collegamentoipertestuale"/>
            <w:rFonts w:ascii="Arial" w:hAnsi="Arial" w:cs="Arial"/>
            <w:sz w:val="22"/>
            <w:szCs w:val="22"/>
          </w:rPr>
          <w:t>g.alati@avvocatinocera-pec.it</w:t>
        </w:r>
      </w:hyperlink>
      <w:r w:rsidRPr="0056268B">
        <w:rPr>
          <w:rStyle w:val="Collegamentoipertestuale"/>
          <w:rFonts w:ascii="Arial" w:hAnsi="Arial" w:cs="Arial"/>
          <w:sz w:val="22"/>
          <w:szCs w:val="22"/>
        </w:rPr>
        <w:t xml:space="preserve"> </w:t>
      </w:r>
      <w:r w:rsidRPr="0056268B">
        <w:rPr>
          <w:rFonts w:ascii="Arial" w:hAnsi="Arial" w:cs="Arial"/>
          <w:color w:val="000000"/>
          <w:sz w:val="22"/>
          <w:szCs w:val="22"/>
        </w:rPr>
        <w:t xml:space="preserve"> </w:t>
      </w:r>
      <w:r w:rsidRPr="0056268B">
        <w:rPr>
          <w:rFonts w:ascii="Arial" w:hAnsi="Arial" w:cs="Arial"/>
          <w:sz w:val="22"/>
          <w:szCs w:val="22"/>
        </w:rPr>
        <w:t>e con loro elettivamente domiciliat</w:t>
      </w:r>
      <w:r w:rsidR="00B02396">
        <w:rPr>
          <w:rFonts w:ascii="Arial" w:hAnsi="Arial" w:cs="Arial"/>
          <w:sz w:val="22"/>
          <w:szCs w:val="22"/>
        </w:rPr>
        <w:t>a</w:t>
      </w:r>
      <w:r w:rsidRPr="0056268B">
        <w:rPr>
          <w:rFonts w:ascii="Arial" w:hAnsi="Arial" w:cs="Arial"/>
          <w:sz w:val="22"/>
          <w:szCs w:val="22"/>
        </w:rPr>
        <w:t xml:space="preserve"> ai fini del presente giudizio presso la CGIL di Salerno, sita in via Manzo, 64;</w:t>
      </w:r>
    </w:p>
    <w:p w14:paraId="1627CCD1" w14:textId="273FA7A7" w:rsidR="00424965" w:rsidRPr="0056268B" w:rsidRDefault="00847E30" w:rsidP="00B02396">
      <w:pPr>
        <w:widowControl w:val="0"/>
        <w:spacing w:line="360" w:lineRule="auto"/>
        <w:ind w:left="57" w:right="1418"/>
        <w:jc w:val="right"/>
        <w:rPr>
          <w:rFonts w:ascii="Arial" w:hAnsi="Arial" w:cs="Arial"/>
          <w:sz w:val="22"/>
          <w:szCs w:val="22"/>
        </w:rPr>
      </w:pPr>
      <w:r>
        <w:rPr>
          <w:rFonts w:ascii="Arial" w:hAnsi="Arial" w:cs="Arial"/>
          <w:sz w:val="22"/>
          <w:szCs w:val="22"/>
        </w:rPr>
        <w:t>-R</w:t>
      </w:r>
      <w:r w:rsidR="00C91690" w:rsidRPr="0056268B">
        <w:rPr>
          <w:rFonts w:ascii="Arial" w:hAnsi="Arial" w:cs="Arial"/>
          <w:sz w:val="22"/>
          <w:szCs w:val="22"/>
        </w:rPr>
        <w:t xml:space="preserve">icorrente- </w:t>
      </w:r>
    </w:p>
    <w:p w14:paraId="0FE91F3B" w14:textId="77777777" w:rsidR="00424965" w:rsidRPr="0056268B" w:rsidRDefault="00424965" w:rsidP="00B02396">
      <w:pPr>
        <w:widowControl w:val="0"/>
        <w:spacing w:line="360" w:lineRule="auto"/>
        <w:ind w:left="57" w:right="1418"/>
        <w:jc w:val="both"/>
        <w:rPr>
          <w:rFonts w:ascii="Arial" w:hAnsi="Arial" w:cs="Arial"/>
          <w:sz w:val="22"/>
          <w:szCs w:val="22"/>
        </w:rPr>
      </w:pPr>
    </w:p>
    <w:p w14:paraId="7D5FE1D6" w14:textId="4C14A3F9" w:rsidR="00C91690" w:rsidRPr="0056268B" w:rsidRDefault="00C91690" w:rsidP="00B02396">
      <w:pPr>
        <w:widowControl w:val="0"/>
        <w:spacing w:line="360" w:lineRule="auto"/>
        <w:ind w:left="57" w:right="1418"/>
        <w:jc w:val="both"/>
        <w:rPr>
          <w:rFonts w:ascii="Arial" w:hAnsi="Arial" w:cs="Arial"/>
          <w:sz w:val="22"/>
          <w:szCs w:val="22"/>
        </w:rPr>
      </w:pPr>
      <w:r w:rsidRPr="0056268B">
        <w:rPr>
          <w:rFonts w:ascii="Arial" w:hAnsi="Arial" w:cs="Arial"/>
          <w:b/>
          <w:sz w:val="22"/>
          <w:szCs w:val="22"/>
        </w:rPr>
        <w:t>Contro</w:t>
      </w:r>
      <w:r w:rsidRPr="0056268B">
        <w:rPr>
          <w:rFonts w:ascii="Arial" w:hAnsi="Arial" w:cs="Arial"/>
          <w:sz w:val="22"/>
          <w:szCs w:val="22"/>
        </w:rPr>
        <w:t xml:space="preserve">: </w:t>
      </w:r>
      <w:r w:rsidR="00424965" w:rsidRPr="0056268B">
        <w:rPr>
          <w:rFonts w:ascii="Arial" w:hAnsi="Arial" w:cs="Arial"/>
          <w:b/>
          <w:sz w:val="22"/>
          <w:szCs w:val="22"/>
        </w:rPr>
        <w:t>MIUR - M</w:t>
      </w:r>
      <w:r w:rsidR="00DA36C2" w:rsidRPr="0056268B">
        <w:rPr>
          <w:rFonts w:ascii="Arial" w:hAnsi="Arial" w:cs="Arial"/>
          <w:b/>
          <w:sz w:val="22"/>
          <w:szCs w:val="22"/>
        </w:rPr>
        <w:t>inistero dell'Istruzione</w:t>
      </w:r>
      <w:r w:rsidR="00424965" w:rsidRPr="0056268B">
        <w:rPr>
          <w:rFonts w:ascii="Arial" w:hAnsi="Arial" w:cs="Arial"/>
          <w:b/>
          <w:sz w:val="22"/>
          <w:szCs w:val="22"/>
        </w:rPr>
        <w:t xml:space="preserve"> </w:t>
      </w:r>
      <w:r w:rsidR="00DA36C2" w:rsidRPr="0056268B">
        <w:rPr>
          <w:rFonts w:ascii="Arial" w:hAnsi="Arial" w:cs="Arial"/>
          <w:b/>
          <w:sz w:val="22"/>
          <w:szCs w:val="22"/>
        </w:rPr>
        <w:t>Università</w:t>
      </w:r>
      <w:r w:rsidR="00424965" w:rsidRPr="0056268B">
        <w:rPr>
          <w:rFonts w:ascii="Arial" w:hAnsi="Arial" w:cs="Arial"/>
          <w:b/>
          <w:sz w:val="22"/>
          <w:szCs w:val="22"/>
        </w:rPr>
        <w:t xml:space="preserve"> e R</w:t>
      </w:r>
      <w:r w:rsidR="00DA36C2" w:rsidRPr="0056268B">
        <w:rPr>
          <w:rFonts w:ascii="Arial" w:hAnsi="Arial" w:cs="Arial"/>
          <w:b/>
          <w:sz w:val="22"/>
          <w:szCs w:val="22"/>
        </w:rPr>
        <w:t>icerca</w:t>
      </w:r>
      <w:r w:rsidR="00424965" w:rsidRPr="0056268B">
        <w:rPr>
          <w:rFonts w:ascii="Arial" w:hAnsi="Arial" w:cs="Arial"/>
          <w:sz w:val="22"/>
          <w:szCs w:val="22"/>
        </w:rPr>
        <w:t>, in persona del M</w:t>
      </w:r>
      <w:r w:rsidR="00DA36C2" w:rsidRPr="0056268B">
        <w:rPr>
          <w:rFonts w:ascii="Arial" w:hAnsi="Arial" w:cs="Arial"/>
          <w:sz w:val="22"/>
          <w:szCs w:val="22"/>
        </w:rPr>
        <w:t>inistro p.t., co</w:t>
      </w:r>
      <w:r w:rsidR="00424965" w:rsidRPr="0056268B">
        <w:rPr>
          <w:rFonts w:ascii="Arial" w:hAnsi="Arial" w:cs="Arial"/>
          <w:sz w:val="22"/>
          <w:szCs w:val="22"/>
        </w:rPr>
        <w:t>n sede in Viale Trastevere 76/A</w:t>
      </w:r>
      <w:r w:rsidR="00AD149C" w:rsidRPr="0056268B">
        <w:rPr>
          <w:rFonts w:ascii="Arial" w:hAnsi="Arial" w:cs="Arial"/>
          <w:sz w:val="22"/>
          <w:szCs w:val="22"/>
        </w:rPr>
        <w:t>, C.F. 80185250588, rappresentato e difeso dall</w:t>
      </w:r>
      <w:r w:rsidR="00083F71" w:rsidRPr="0056268B">
        <w:rPr>
          <w:rFonts w:ascii="Arial" w:hAnsi="Arial" w:cs="Arial"/>
          <w:sz w:val="22"/>
          <w:szCs w:val="22"/>
        </w:rPr>
        <w:t>’Avvocatura Distrett</w:t>
      </w:r>
      <w:r w:rsidR="00F41860" w:rsidRPr="0056268B">
        <w:rPr>
          <w:rFonts w:ascii="Arial" w:hAnsi="Arial" w:cs="Arial"/>
          <w:sz w:val="22"/>
          <w:szCs w:val="22"/>
        </w:rPr>
        <w:t>u</w:t>
      </w:r>
      <w:r w:rsidR="00AD149C" w:rsidRPr="0056268B">
        <w:rPr>
          <w:rFonts w:ascii="Arial" w:hAnsi="Arial" w:cs="Arial"/>
          <w:sz w:val="22"/>
          <w:szCs w:val="22"/>
        </w:rPr>
        <w:t xml:space="preserve">ale dello Stato di Salerno, presso </w:t>
      </w:r>
      <w:r w:rsidR="006622EE" w:rsidRPr="0056268B">
        <w:rPr>
          <w:rFonts w:ascii="Arial" w:hAnsi="Arial" w:cs="Arial"/>
          <w:sz w:val="22"/>
          <w:szCs w:val="22"/>
        </w:rPr>
        <w:t>i</w:t>
      </w:r>
      <w:r w:rsidR="00AD149C" w:rsidRPr="0056268B">
        <w:rPr>
          <w:rFonts w:ascii="Arial" w:hAnsi="Arial" w:cs="Arial"/>
          <w:sz w:val="22"/>
          <w:szCs w:val="22"/>
        </w:rPr>
        <w:t xml:space="preserve"> cui </w:t>
      </w:r>
      <w:r w:rsidR="006622EE" w:rsidRPr="0056268B">
        <w:rPr>
          <w:rFonts w:ascii="Arial" w:hAnsi="Arial" w:cs="Arial"/>
          <w:sz w:val="22"/>
          <w:szCs w:val="22"/>
        </w:rPr>
        <w:t xml:space="preserve">Uffici </w:t>
      </w:r>
      <w:r w:rsidR="003C472E" w:rsidRPr="0056268B">
        <w:rPr>
          <w:rFonts w:ascii="Arial" w:hAnsi="Arial" w:cs="Arial"/>
          <w:sz w:val="22"/>
          <w:szCs w:val="22"/>
        </w:rPr>
        <w:t xml:space="preserve">siti </w:t>
      </w:r>
      <w:r w:rsidR="0089741C" w:rsidRPr="0056268B">
        <w:rPr>
          <w:rFonts w:ascii="Arial" w:hAnsi="Arial" w:cs="Arial"/>
          <w:sz w:val="22"/>
          <w:szCs w:val="22"/>
        </w:rPr>
        <w:t xml:space="preserve">al </w:t>
      </w:r>
      <w:r w:rsidR="00D84772">
        <w:rPr>
          <w:rFonts w:ascii="Arial" w:hAnsi="Arial" w:cs="Arial"/>
          <w:sz w:val="22"/>
          <w:szCs w:val="22"/>
        </w:rPr>
        <w:t>Corso Vittorio Emanuele, n.58 è</w:t>
      </w:r>
      <w:r w:rsidR="003C472E" w:rsidRPr="0056268B">
        <w:rPr>
          <w:rFonts w:ascii="Arial" w:hAnsi="Arial" w:cs="Arial"/>
          <w:sz w:val="22"/>
          <w:szCs w:val="22"/>
        </w:rPr>
        <w:t xml:space="preserve"> domicil</w:t>
      </w:r>
      <w:r w:rsidR="00014238" w:rsidRPr="0056268B">
        <w:rPr>
          <w:rFonts w:ascii="Arial" w:hAnsi="Arial" w:cs="Arial"/>
          <w:sz w:val="22"/>
          <w:szCs w:val="22"/>
        </w:rPr>
        <w:t>iato per legge;</w:t>
      </w:r>
    </w:p>
    <w:p w14:paraId="52139278" w14:textId="3A574A0C" w:rsidR="005C2AB8" w:rsidRPr="0056268B" w:rsidRDefault="007F69E2" w:rsidP="00B02396">
      <w:pPr>
        <w:widowControl w:val="0"/>
        <w:numPr>
          <w:ilvl w:val="0"/>
          <w:numId w:val="1"/>
        </w:numPr>
        <w:tabs>
          <w:tab w:val="clear" w:pos="360"/>
          <w:tab w:val="num" w:pos="502"/>
        </w:tabs>
        <w:spacing w:line="360" w:lineRule="auto"/>
        <w:ind w:left="57" w:right="1418"/>
        <w:jc w:val="right"/>
        <w:rPr>
          <w:rFonts w:ascii="Arial" w:hAnsi="Arial" w:cs="Arial"/>
          <w:sz w:val="22"/>
          <w:szCs w:val="22"/>
        </w:rPr>
      </w:pPr>
      <w:r w:rsidRPr="0056268B">
        <w:rPr>
          <w:rFonts w:ascii="Arial" w:hAnsi="Arial" w:cs="Arial"/>
          <w:sz w:val="22"/>
          <w:szCs w:val="22"/>
        </w:rPr>
        <w:t>R</w:t>
      </w:r>
      <w:r w:rsidR="00C91690" w:rsidRPr="0056268B">
        <w:rPr>
          <w:rFonts w:ascii="Arial" w:hAnsi="Arial" w:cs="Arial"/>
          <w:sz w:val="22"/>
          <w:szCs w:val="22"/>
        </w:rPr>
        <w:t>esistente</w:t>
      </w:r>
      <w:r w:rsidR="008C4DD0" w:rsidRPr="0056268B">
        <w:rPr>
          <w:rFonts w:ascii="Arial" w:hAnsi="Arial" w:cs="Arial"/>
          <w:sz w:val="22"/>
          <w:szCs w:val="22"/>
        </w:rPr>
        <w:t xml:space="preserve"> -</w:t>
      </w:r>
    </w:p>
    <w:p w14:paraId="2C9EBF01" w14:textId="77777777" w:rsidR="00B02396" w:rsidRDefault="00B02396" w:rsidP="00B02396">
      <w:pPr>
        <w:widowControl w:val="0"/>
        <w:spacing w:line="360" w:lineRule="auto"/>
        <w:ind w:left="57" w:right="1418"/>
        <w:jc w:val="both"/>
        <w:rPr>
          <w:rFonts w:ascii="Arial" w:hAnsi="Arial" w:cs="Arial"/>
          <w:sz w:val="22"/>
          <w:szCs w:val="22"/>
        </w:rPr>
      </w:pPr>
    </w:p>
    <w:p w14:paraId="01624693" w14:textId="19593458" w:rsidR="00195FD8" w:rsidRPr="0056268B" w:rsidRDefault="0021387F" w:rsidP="00B02396">
      <w:pPr>
        <w:widowControl w:val="0"/>
        <w:spacing w:line="360" w:lineRule="auto"/>
        <w:ind w:left="57" w:right="1418"/>
        <w:jc w:val="both"/>
        <w:rPr>
          <w:rFonts w:ascii="Arial" w:hAnsi="Arial" w:cs="Arial"/>
          <w:sz w:val="22"/>
          <w:szCs w:val="22"/>
        </w:rPr>
      </w:pPr>
      <w:r w:rsidRPr="0056268B">
        <w:rPr>
          <w:rFonts w:ascii="Arial" w:hAnsi="Arial" w:cs="Arial"/>
          <w:sz w:val="22"/>
          <w:szCs w:val="22"/>
        </w:rPr>
        <w:t xml:space="preserve">E </w:t>
      </w:r>
      <w:r w:rsidR="00195FD8" w:rsidRPr="0056268B">
        <w:rPr>
          <w:rFonts w:ascii="Arial" w:hAnsi="Arial" w:cs="Arial"/>
          <w:b/>
          <w:sz w:val="22"/>
          <w:szCs w:val="22"/>
        </w:rPr>
        <w:t>contro</w:t>
      </w:r>
      <w:r w:rsidR="005C2AB8" w:rsidRPr="0056268B">
        <w:rPr>
          <w:rFonts w:ascii="Arial" w:hAnsi="Arial" w:cs="Arial"/>
          <w:b/>
          <w:sz w:val="22"/>
          <w:szCs w:val="22"/>
        </w:rPr>
        <w:t>:</w:t>
      </w:r>
      <w:r w:rsidR="00195FD8" w:rsidRPr="0056268B">
        <w:rPr>
          <w:rFonts w:ascii="Arial" w:hAnsi="Arial" w:cs="Arial"/>
          <w:sz w:val="22"/>
          <w:szCs w:val="22"/>
        </w:rPr>
        <w:t xml:space="preserve"> </w:t>
      </w:r>
      <w:r w:rsidR="00195FD8" w:rsidRPr="0056268B">
        <w:rPr>
          <w:rFonts w:ascii="Arial" w:hAnsi="Arial" w:cs="Arial"/>
          <w:b/>
          <w:bCs/>
          <w:sz w:val="22"/>
          <w:szCs w:val="22"/>
        </w:rPr>
        <w:t xml:space="preserve">Ufficio Scolastico Regionale per la Campania-Ambito territoriale di Salerno, in persona </w:t>
      </w:r>
      <w:r w:rsidR="00263291" w:rsidRPr="0056268B">
        <w:rPr>
          <w:rFonts w:ascii="Arial" w:hAnsi="Arial" w:cs="Arial"/>
          <w:b/>
          <w:bCs/>
          <w:sz w:val="22"/>
          <w:szCs w:val="22"/>
        </w:rPr>
        <w:t>del Di</w:t>
      </w:r>
      <w:r w:rsidR="005302E9" w:rsidRPr="0056268B">
        <w:rPr>
          <w:rFonts w:ascii="Arial" w:hAnsi="Arial" w:cs="Arial"/>
          <w:b/>
          <w:bCs/>
          <w:sz w:val="22"/>
          <w:szCs w:val="22"/>
        </w:rPr>
        <w:t xml:space="preserve">rettore Generale </w:t>
      </w:r>
      <w:r w:rsidR="00263291" w:rsidRPr="0056268B">
        <w:rPr>
          <w:rFonts w:ascii="Arial" w:hAnsi="Arial" w:cs="Arial"/>
          <w:b/>
          <w:bCs/>
          <w:sz w:val="22"/>
          <w:szCs w:val="22"/>
        </w:rPr>
        <w:t>e</w:t>
      </w:r>
      <w:r w:rsidR="00195FD8" w:rsidRPr="0056268B">
        <w:rPr>
          <w:rFonts w:ascii="Arial" w:hAnsi="Arial" w:cs="Arial"/>
          <w:b/>
          <w:bCs/>
          <w:sz w:val="22"/>
          <w:szCs w:val="22"/>
        </w:rPr>
        <w:t xml:space="preserve"> legale rapp.te p.t., </w:t>
      </w:r>
      <w:r w:rsidR="00195FD8" w:rsidRPr="0056268B">
        <w:rPr>
          <w:rFonts w:ascii="Arial" w:hAnsi="Arial" w:cs="Arial"/>
          <w:sz w:val="22"/>
          <w:szCs w:val="22"/>
        </w:rPr>
        <w:t>corr</w:t>
      </w:r>
      <w:r w:rsidR="00014238" w:rsidRPr="0056268B">
        <w:rPr>
          <w:rFonts w:ascii="Arial" w:hAnsi="Arial" w:cs="Arial"/>
          <w:sz w:val="22"/>
          <w:szCs w:val="22"/>
        </w:rPr>
        <w:t>ente in Salerno alla via Monticelli</w:t>
      </w:r>
      <w:r w:rsidR="00D84772">
        <w:rPr>
          <w:rFonts w:ascii="Arial" w:hAnsi="Arial" w:cs="Arial"/>
          <w:sz w:val="22"/>
          <w:szCs w:val="22"/>
        </w:rPr>
        <w:t>, rappresentato e difeso dal</w:t>
      </w:r>
      <w:r w:rsidR="00AF0B38" w:rsidRPr="0056268B">
        <w:rPr>
          <w:rFonts w:ascii="Arial" w:hAnsi="Arial" w:cs="Arial"/>
          <w:sz w:val="22"/>
          <w:szCs w:val="22"/>
        </w:rPr>
        <w:t xml:space="preserve">l’Avvocatura Distrettuale dello Stato di Salerno, presso i cui Uffici siti al </w:t>
      </w:r>
      <w:r w:rsidR="00D84772">
        <w:rPr>
          <w:rFonts w:ascii="Arial" w:hAnsi="Arial" w:cs="Arial"/>
          <w:sz w:val="22"/>
          <w:szCs w:val="22"/>
        </w:rPr>
        <w:t>Corso Vittorio Emanuele, n.58 è</w:t>
      </w:r>
      <w:r w:rsidR="00AF0B38" w:rsidRPr="0056268B">
        <w:rPr>
          <w:rFonts w:ascii="Arial" w:hAnsi="Arial" w:cs="Arial"/>
          <w:sz w:val="22"/>
          <w:szCs w:val="22"/>
        </w:rPr>
        <w:t xml:space="preserve"> domiciliato per legge</w:t>
      </w:r>
      <w:r w:rsidRPr="0056268B">
        <w:rPr>
          <w:rFonts w:ascii="Arial" w:hAnsi="Arial" w:cs="Arial"/>
          <w:sz w:val="22"/>
          <w:szCs w:val="22"/>
        </w:rPr>
        <w:t>;</w:t>
      </w:r>
    </w:p>
    <w:p w14:paraId="72FAC9EA" w14:textId="11E841B2" w:rsidR="00B31147" w:rsidRPr="0056268B" w:rsidRDefault="008C4DD0" w:rsidP="00B02396">
      <w:pPr>
        <w:widowControl w:val="0"/>
        <w:spacing w:line="360" w:lineRule="auto"/>
        <w:ind w:left="57" w:right="1418"/>
        <w:jc w:val="right"/>
        <w:rPr>
          <w:rFonts w:ascii="Arial" w:hAnsi="Arial" w:cs="Arial"/>
          <w:sz w:val="22"/>
          <w:szCs w:val="22"/>
        </w:rPr>
      </w:pPr>
      <w:r w:rsidRPr="0056268B">
        <w:rPr>
          <w:rFonts w:ascii="Arial" w:hAnsi="Arial" w:cs="Arial"/>
          <w:sz w:val="22"/>
          <w:szCs w:val="22"/>
        </w:rPr>
        <w:t>-</w:t>
      </w:r>
      <w:r w:rsidR="00B31147" w:rsidRPr="0056268B">
        <w:rPr>
          <w:rFonts w:ascii="Arial" w:hAnsi="Arial" w:cs="Arial"/>
          <w:sz w:val="22"/>
          <w:szCs w:val="22"/>
        </w:rPr>
        <w:t>Resistente</w:t>
      </w:r>
      <w:r w:rsidRPr="0056268B">
        <w:rPr>
          <w:rFonts w:ascii="Arial" w:hAnsi="Arial" w:cs="Arial"/>
          <w:sz w:val="22"/>
          <w:szCs w:val="22"/>
        </w:rPr>
        <w:t>-</w:t>
      </w:r>
    </w:p>
    <w:p w14:paraId="60A015B2" w14:textId="69122B0C" w:rsidR="008C4DD0" w:rsidRPr="00AA72A5" w:rsidRDefault="008C4DD0" w:rsidP="00B02396">
      <w:pPr>
        <w:pStyle w:val="NormaleWeb"/>
        <w:spacing w:line="360" w:lineRule="auto"/>
        <w:ind w:left="57" w:right="1418"/>
        <w:jc w:val="both"/>
        <w:rPr>
          <w:rFonts w:ascii="Arial" w:eastAsia="Times New Roman" w:hAnsi="Arial" w:cs="Arial"/>
          <w:b/>
          <w:sz w:val="22"/>
          <w:szCs w:val="22"/>
        </w:rPr>
      </w:pPr>
      <w:r w:rsidRPr="00B02396">
        <w:rPr>
          <w:rFonts w:ascii="Arial" w:eastAsia="Times New Roman" w:hAnsi="Arial" w:cs="Arial"/>
          <w:sz w:val="22"/>
          <w:szCs w:val="22"/>
        </w:rPr>
        <w:t>E</w:t>
      </w:r>
      <w:r w:rsidRPr="00AA72A5">
        <w:rPr>
          <w:rFonts w:ascii="Arial" w:eastAsia="Times New Roman" w:hAnsi="Arial" w:cs="Arial"/>
          <w:b/>
          <w:sz w:val="22"/>
          <w:szCs w:val="22"/>
        </w:rPr>
        <w:t xml:space="preserve"> nei confronti di </w:t>
      </w:r>
      <w:r w:rsidRPr="0056268B">
        <w:rPr>
          <w:rFonts w:ascii="Arial" w:eastAsia="Times New Roman" w:hAnsi="Arial" w:cs="Arial"/>
          <w:sz w:val="22"/>
          <w:szCs w:val="22"/>
        </w:rPr>
        <w:t xml:space="preserve">Tutti i docenti iscritti nella classe concorsuale </w:t>
      </w:r>
      <w:r w:rsidR="00D84772">
        <w:rPr>
          <w:rFonts w:ascii="Arial" w:eastAsia="Times New Roman" w:hAnsi="Arial" w:cs="Arial"/>
          <w:sz w:val="22"/>
          <w:szCs w:val="22"/>
        </w:rPr>
        <w:t>“</w:t>
      </w:r>
      <w:r w:rsidR="00BA26CB">
        <w:rPr>
          <w:rFonts w:ascii="Arial" w:eastAsia="Times New Roman" w:hAnsi="Arial" w:cs="Arial"/>
          <w:sz w:val="22"/>
          <w:szCs w:val="22"/>
        </w:rPr>
        <w:t>A047 - matematica</w:t>
      </w:r>
      <w:bookmarkStart w:id="0" w:name="_GoBack"/>
      <w:bookmarkEnd w:id="0"/>
      <w:r w:rsidR="00D84772">
        <w:rPr>
          <w:rFonts w:ascii="Arial" w:eastAsia="Times New Roman" w:hAnsi="Arial" w:cs="Arial"/>
          <w:sz w:val="22"/>
          <w:szCs w:val="22"/>
        </w:rPr>
        <w:t>”</w:t>
      </w:r>
      <w:r w:rsidRPr="0056268B">
        <w:rPr>
          <w:rFonts w:ascii="Arial" w:eastAsia="Times New Roman" w:hAnsi="Arial" w:cs="Arial"/>
          <w:sz w:val="22"/>
          <w:szCs w:val="22"/>
        </w:rPr>
        <w:t>, inseriti nelle graduatorie ad esaurimento (GAE), III fascia, del personale docente ed educativo, valide per il conferimento di incarichi a tempo determinato ed indeterminato per il triennio 2014-</w:t>
      </w:r>
      <w:r w:rsidRPr="0056268B">
        <w:rPr>
          <w:rFonts w:ascii="Arial" w:eastAsia="Times New Roman" w:hAnsi="Arial" w:cs="Arial"/>
          <w:sz w:val="22"/>
          <w:szCs w:val="22"/>
        </w:rPr>
        <w:lastRenderedPageBreak/>
        <w:t>2017, dei 101 Ambiti Territoriali Italiani, che in virtù dell’inserimento “</w:t>
      </w:r>
      <w:r w:rsidRPr="00AA72A5">
        <w:rPr>
          <w:rFonts w:ascii="Arial" w:eastAsia="Times New Roman" w:hAnsi="Arial" w:cs="Arial"/>
          <w:i/>
          <w:sz w:val="22"/>
          <w:szCs w:val="22"/>
        </w:rPr>
        <w:t>pleno iure</w:t>
      </w:r>
      <w:r w:rsidR="00D84772">
        <w:rPr>
          <w:rFonts w:ascii="Arial" w:eastAsia="Times New Roman" w:hAnsi="Arial" w:cs="Arial"/>
          <w:sz w:val="22"/>
          <w:szCs w:val="22"/>
        </w:rPr>
        <w:t>” del</w:t>
      </w:r>
      <w:r w:rsidRPr="0056268B">
        <w:rPr>
          <w:rFonts w:ascii="Arial" w:eastAsia="Times New Roman" w:hAnsi="Arial" w:cs="Arial"/>
          <w:sz w:val="22"/>
          <w:szCs w:val="22"/>
        </w:rPr>
        <w:t xml:space="preserve"> ricorrente sarebbero scavalcati in graduatoria e per punteggio.</w:t>
      </w:r>
    </w:p>
    <w:p w14:paraId="13797906" w14:textId="407392E9" w:rsidR="008C4DD0" w:rsidRPr="0056268B" w:rsidRDefault="00AA72A5" w:rsidP="00B02396">
      <w:pPr>
        <w:pStyle w:val="NormaleWeb"/>
        <w:spacing w:line="360" w:lineRule="auto"/>
        <w:ind w:left="57" w:right="1418"/>
        <w:jc w:val="right"/>
        <w:rPr>
          <w:rFonts w:ascii="Arial" w:eastAsia="Times New Roman" w:hAnsi="Arial" w:cs="Arial"/>
          <w:sz w:val="22"/>
          <w:szCs w:val="22"/>
        </w:rPr>
      </w:pPr>
      <w:r>
        <w:rPr>
          <w:rFonts w:ascii="Arial" w:eastAsia="Times New Roman" w:hAnsi="Arial" w:cs="Arial"/>
          <w:sz w:val="22"/>
          <w:szCs w:val="22"/>
        </w:rPr>
        <w:t>-potenziali resistenti-</w:t>
      </w:r>
    </w:p>
    <w:p w14:paraId="7C3F1168" w14:textId="2CD7D8AD" w:rsidR="00195FD8" w:rsidRPr="00AA72A5" w:rsidRDefault="00195FD8" w:rsidP="00B02396">
      <w:pPr>
        <w:autoSpaceDE w:val="0"/>
        <w:autoSpaceDN w:val="0"/>
        <w:adjustRightInd w:val="0"/>
        <w:spacing w:line="360" w:lineRule="auto"/>
        <w:ind w:left="57" w:right="1418"/>
        <w:jc w:val="both"/>
        <w:rPr>
          <w:rFonts w:ascii="Arial" w:hAnsi="Arial" w:cs="Arial"/>
          <w:sz w:val="22"/>
          <w:szCs w:val="22"/>
        </w:rPr>
      </w:pPr>
      <w:r w:rsidRPr="00AA72A5">
        <w:rPr>
          <w:rFonts w:ascii="Arial" w:hAnsi="Arial" w:cs="Arial"/>
          <w:b/>
          <w:sz w:val="22"/>
          <w:szCs w:val="22"/>
        </w:rPr>
        <w:t>OGGETTO</w:t>
      </w:r>
      <w:r w:rsidRPr="00AA72A5">
        <w:rPr>
          <w:rFonts w:ascii="Arial" w:hAnsi="Arial" w:cs="Arial"/>
          <w:sz w:val="22"/>
          <w:szCs w:val="22"/>
        </w:rPr>
        <w:t xml:space="preserve">: Inserimento nelle graduatorie </w:t>
      </w:r>
      <w:r w:rsidR="00263291" w:rsidRPr="00AA72A5">
        <w:rPr>
          <w:rFonts w:ascii="Arial" w:hAnsi="Arial" w:cs="Arial"/>
          <w:sz w:val="22"/>
          <w:szCs w:val="22"/>
        </w:rPr>
        <w:t>ad</w:t>
      </w:r>
      <w:r w:rsidRPr="00AA72A5">
        <w:rPr>
          <w:rFonts w:ascii="Arial" w:hAnsi="Arial" w:cs="Arial"/>
          <w:sz w:val="22"/>
          <w:szCs w:val="22"/>
        </w:rPr>
        <w:t xml:space="preserve"> esaurimento (</w:t>
      </w:r>
      <w:r w:rsidR="0063132D" w:rsidRPr="00AA72A5">
        <w:rPr>
          <w:rFonts w:ascii="Arial" w:hAnsi="Arial" w:cs="Arial"/>
          <w:sz w:val="22"/>
          <w:szCs w:val="22"/>
        </w:rPr>
        <w:t>GAE) della Provincia di Salerno per il triennio 2014/2017 al fine di poter partecipare al piano straordinario di immissioni in ruolo.</w:t>
      </w:r>
    </w:p>
    <w:p w14:paraId="441344BB" w14:textId="77777777" w:rsidR="00C91690" w:rsidRPr="0056268B" w:rsidRDefault="00C91690" w:rsidP="00B02396">
      <w:pPr>
        <w:pStyle w:val="Testodelblocco"/>
        <w:tabs>
          <w:tab w:val="clear" w:pos="720"/>
          <w:tab w:val="clear" w:pos="900"/>
          <w:tab w:val="clear" w:pos="1080"/>
        </w:tabs>
        <w:ind w:left="57" w:right="1418"/>
        <w:rPr>
          <w:rFonts w:ascii="Arial" w:hAnsi="Arial" w:cs="Arial"/>
          <w:sz w:val="22"/>
          <w:szCs w:val="22"/>
        </w:rPr>
      </w:pPr>
      <w:r w:rsidRPr="0056268B">
        <w:rPr>
          <w:rFonts w:ascii="Arial" w:hAnsi="Arial" w:cs="Arial"/>
          <w:sz w:val="22"/>
          <w:szCs w:val="22"/>
        </w:rPr>
        <w:t>**********************</w:t>
      </w:r>
    </w:p>
    <w:p w14:paraId="32409F17" w14:textId="38E090A7" w:rsidR="00C91690" w:rsidRPr="0056268B" w:rsidRDefault="00B02396" w:rsidP="00B02396">
      <w:pPr>
        <w:spacing w:line="360" w:lineRule="auto"/>
        <w:ind w:left="57" w:right="1418"/>
        <w:jc w:val="both"/>
        <w:rPr>
          <w:rFonts w:ascii="Arial" w:hAnsi="Arial" w:cs="Arial"/>
          <w:sz w:val="22"/>
          <w:szCs w:val="22"/>
        </w:rPr>
      </w:pPr>
      <w:r>
        <w:rPr>
          <w:rFonts w:ascii="Arial" w:hAnsi="Arial" w:cs="Arial"/>
          <w:sz w:val="22"/>
          <w:szCs w:val="22"/>
        </w:rPr>
        <w:t>La</w:t>
      </w:r>
      <w:r w:rsidR="00FC6CC6">
        <w:rPr>
          <w:rFonts w:ascii="Arial" w:hAnsi="Arial" w:cs="Arial"/>
          <w:sz w:val="22"/>
          <w:szCs w:val="22"/>
        </w:rPr>
        <w:t xml:space="preserve"> sig.</w:t>
      </w:r>
      <w:r>
        <w:rPr>
          <w:rFonts w:ascii="Arial" w:hAnsi="Arial" w:cs="Arial"/>
          <w:sz w:val="22"/>
          <w:szCs w:val="22"/>
        </w:rPr>
        <w:t>ra</w:t>
      </w:r>
      <w:r w:rsidR="00FC6CC6">
        <w:rPr>
          <w:rFonts w:ascii="Arial" w:hAnsi="Arial" w:cs="Arial"/>
          <w:sz w:val="22"/>
          <w:szCs w:val="22"/>
        </w:rPr>
        <w:t xml:space="preserve"> </w:t>
      </w:r>
      <w:r>
        <w:rPr>
          <w:rFonts w:ascii="Arial" w:hAnsi="Arial" w:cs="Arial"/>
          <w:sz w:val="22"/>
          <w:szCs w:val="22"/>
        </w:rPr>
        <w:t>Lucia Procida</w:t>
      </w:r>
      <w:r w:rsidR="00C91690" w:rsidRPr="0056268B">
        <w:rPr>
          <w:rFonts w:ascii="Arial" w:hAnsi="Arial" w:cs="Arial"/>
          <w:b/>
          <w:sz w:val="22"/>
          <w:szCs w:val="22"/>
        </w:rPr>
        <w:t xml:space="preserve"> </w:t>
      </w:r>
      <w:r w:rsidR="00C91690" w:rsidRPr="0056268B">
        <w:rPr>
          <w:rFonts w:ascii="Arial" w:hAnsi="Arial" w:cs="Arial"/>
          <w:sz w:val="22"/>
          <w:szCs w:val="22"/>
        </w:rPr>
        <w:t>espone:</w:t>
      </w:r>
    </w:p>
    <w:p w14:paraId="7423F112" w14:textId="3185F068" w:rsidR="00763A5E" w:rsidRPr="0056268B" w:rsidRDefault="00424965" w:rsidP="00B02396">
      <w:pPr>
        <w:pStyle w:val="Paragrafoelenco"/>
        <w:numPr>
          <w:ilvl w:val="0"/>
          <w:numId w:val="3"/>
        </w:numPr>
        <w:autoSpaceDE w:val="0"/>
        <w:autoSpaceDN w:val="0"/>
        <w:adjustRightInd w:val="0"/>
        <w:spacing w:line="360" w:lineRule="auto"/>
        <w:ind w:left="57" w:right="1418"/>
        <w:jc w:val="both"/>
        <w:rPr>
          <w:rFonts w:ascii="Arial" w:hAnsi="Arial" w:cs="Arial"/>
          <w:sz w:val="22"/>
          <w:szCs w:val="22"/>
        </w:rPr>
      </w:pPr>
      <w:r w:rsidRPr="0056268B">
        <w:rPr>
          <w:rFonts w:ascii="Arial" w:hAnsi="Arial" w:cs="Arial"/>
          <w:sz w:val="22"/>
          <w:szCs w:val="22"/>
        </w:rPr>
        <w:t xml:space="preserve">di essere </w:t>
      </w:r>
      <w:r w:rsidR="00B02396">
        <w:rPr>
          <w:rFonts w:ascii="Arial" w:hAnsi="Arial" w:cs="Arial"/>
          <w:sz w:val="22"/>
          <w:szCs w:val="22"/>
        </w:rPr>
        <w:t>abilitata</w:t>
      </w:r>
      <w:r w:rsidR="00D84772">
        <w:rPr>
          <w:rFonts w:ascii="Arial" w:hAnsi="Arial" w:cs="Arial"/>
          <w:sz w:val="22"/>
          <w:szCs w:val="22"/>
        </w:rPr>
        <w:t xml:space="preserve"> alla docenza per la classe</w:t>
      </w:r>
      <w:r w:rsidRPr="0056268B">
        <w:rPr>
          <w:rFonts w:ascii="Arial" w:hAnsi="Arial" w:cs="Arial"/>
          <w:sz w:val="22"/>
          <w:szCs w:val="22"/>
        </w:rPr>
        <w:t xml:space="preserve"> di concorso </w:t>
      </w:r>
      <w:r w:rsidR="00B02396">
        <w:rPr>
          <w:rFonts w:ascii="Arial" w:hAnsi="Arial" w:cs="Arial"/>
          <w:sz w:val="22"/>
          <w:szCs w:val="22"/>
        </w:rPr>
        <w:t>A047</w:t>
      </w:r>
      <w:r w:rsidR="00D84772">
        <w:rPr>
          <w:rFonts w:ascii="Arial" w:hAnsi="Arial" w:cs="Arial"/>
          <w:sz w:val="22"/>
          <w:szCs w:val="22"/>
        </w:rPr>
        <w:t xml:space="preserve"> – </w:t>
      </w:r>
      <w:r w:rsidR="00B02396">
        <w:rPr>
          <w:rFonts w:ascii="Arial" w:hAnsi="Arial" w:cs="Arial"/>
          <w:sz w:val="22"/>
          <w:szCs w:val="22"/>
        </w:rPr>
        <w:t>Matematica</w:t>
      </w:r>
      <w:r w:rsidR="00D84772">
        <w:rPr>
          <w:rFonts w:ascii="Arial" w:hAnsi="Arial" w:cs="Arial"/>
          <w:sz w:val="22"/>
          <w:szCs w:val="22"/>
        </w:rPr>
        <w:t>,</w:t>
      </w:r>
      <w:r w:rsidR="001E0E15">
        <w:rPr>
          <w:rFonts w:ascii="Arial" w:hAnsi="Arial" w:cs="Arial"/>
          <w:sz w:val="22"/>
          <w:szCs w:val="22"/>
        </w:rPr>
        <w:t xml:space="preserve"> in virtù </w:t>
      </w:r>
      <w:r w:rsidRPr="0056268B">
        <w:rPr>
          <w:rFonts w:ascii="Arial" w:hAnsi="Arial" w:cs="Arial"/>
          <w:sz w:val="22"/>
          <w:szCs w:val="22"/>
        </w:rPr>
        <w:t xml:space="preserve">del </w:t>
      </w:r>
      <w:r w:rsidR="00D84772">
        <w:rPr>
          <w:rFonts w:ascii="Arial" w:hAnsi="Arial" w:cs="Arial"/>
          <w:sz w:val="22"/>
          <w:szCs w:val="22"/>
        </w:rPr>
        <w:t xml:space="preserve">“Percorso abilitante speciale” </w:t>
      </w:r>
      <w:r w:rsidRPr="0056268B">
        <w:rPr>
          <w:rFonts w:ascii="Arial" w:hAnsi="Arial" w:cs="Arial"/>
          <w:sz w:val="22"/>
          <w:szCs w:val="22"/>
        </w:rPr>
        <w:t xml:space="preserve">conseguito </w:t>
      </w:r>
      <w:r w:rsidR="00D84772">
        <w:rPr>
          <w:rFonts w:ascii="Arial" w:hAnsi="Arial" w:cs="Arial"/>
          <w:sz w:val="22"/>
          <w:szCs w:val="22"/>
        </w:rPr>
        <w:t xml:space="preserve">il </w:t>
      </w:r>
      <w:r w:rsidR="00B02396">
        <w:rPr>
          <w:rFonts w:ascii="Arial" w:hAnsi="Arial" w:cs="Arial"/>
          <w:sz w:val="22"/>
          <w:szCs w:val="22"/>
        </w:rPr>
        <w:t>22.04.2015</w:t>
      </w:r>
      <w:r w:rsidR="00D84772">
        <w:rPr>
          <w:rFonts w:ascii="Arial" w:hAnsi="Arial" w:cs="Arial"/>
          <w:sz w:val="22"/>
          <w:szCs w:val="22"/>
        </w:rPr>
        <w:t xml:space="preserve"> presso </w:t>
      </w:r>
      <w:r w:rsidR="00B02396">
        <w:rPr>
          <w:rFonts w:ascii="Arial" w:hAnsi="Arial" w:cs="Arial"/>
          <w:sz w:val="22"/>
          <w:szCs w:val="22"/>
        </w:rPr>
        <w:t>l</w:t>
      </w:r>
      <w:r w:rsidR="00D84772">
        <w:rPr>
          <w:rFonts w:ascii="Arial" w:hAnsi="Arial" w:cs="Arial"/>
          <w:sz w:val="22"/>
          <w:szCs w:val="22"/>
        </w:rPr>
        <w:t>’Università degli Studi di Salerno</w:t>
      </w:r>
      <w:r w:rsidR="001E0E15">
        <w:rPr>
          <w:rFonts w:ascii="Arial" w:hAnsi="Arial" w:cs="Arial"/>
          <w:sz w:val="22"/>
          <w:szCs w:val="22"/>
        </w:rPr>
        <w:t xml:space="preserve"> </w:t>
      </w:r>
      <w:r w:rsidRPr="0056268B">
        <w:rPr>
          <w:rFonts w:ascii="Arial" w:hAnsi="Arial" w:cs="Arial"/>
          <w:sz w:val="22"/>
          <w:szCs w:val="22"/>
        </w:rPr>
        <w:t>(all. n. 1);</w:t>
      </w:r>
    </w:p>
    <w:p w14:paraId="7A64979A" w14:textId="08BDB173" w:rsidR="00B02396" w:rsidRDefault="00B02396" w:rsidP="00B02396">
      <w:pPr>
        <w:pStyle w:val="Paragrafoelenco"/>
        <w:numPr>
          <w:ilvl w:val="0"/>
          <w:numId w:val="3"/>
        </w:numPr>
        <w:autoSpaceDE w:val="0"/>
        <w:autoSpaceDN w:val="0"/>
        <w:adjustRightInd w:val="0"/>
        <w:spacing w:line="360" w:lineRule="auto"/>
        <w:ind w:left="57" w:right="1418"/>
        <w:jc w:val="both"/>
        <w:rPr>
          <w:rFonts w:ascii="Arial" w:hAnsi="Arial" w:cs="Arial"/>
          <w:sz w:val="22"/>
          <w:szCs w:val="22"/>
        </w:rPr>
      </w:pPr>
      <w:r>
        <w:rPr>
          <w:rFonts w:ascii="Arial" w:hAnsi="Arial" w:cs="Arial"/>
          <w:sz w:val="22"/>
          <w:szCs w:val="22"/>
        </w:rPr>
        <w:t>di essersi laureata in “Scienze dell’Informazione” (ante riforma facoltà di Scienze Matematiche fisiche e Naturali) in data 03.02.2000 presso l’Università degli Studi di Salerno;</w:t>
      </w:r>
    </w:p>
    <w:p w14:paraId="3692AC71" w14:textId="255B25C2" w:rsidR="007323D3" w:rsidRDefault="007323D3" w:rsidP="00B02396">
      <w:pPr>
        <w:pStyle w:val="Paragrafoelenco"/>
        <w:numPr>
          <w:ilvl w:val="0"/>
          <w:numId w:val="3"/>
        </w:numPr>
        <w:autoSpaceDE w:val="0"/>
        <w:autoSpaceDN w:val="0"/>
        <w:adjustRightInd w:val="0"/>
        <w:spacing w:line="360" w:lineRule="auto"/>
        <w:ind w:left="57" w:right="1418"/>
        <w:jc w:val="both"/>
        <w:rPr>
          <w:rFonts w:ascii="Arial" w:hAnsi="Arial" w:cs="Arial"/>
          <w:sz w:val="22"/>
          <w:szCs w:val="22"/>
        </w:rPr>
      </w:pPr>
      <w:r>
        <w:rPr>
          <w:rFonts w:ascii="Arial" w:hAnsi="Arial" w:cs="Arial"/>
          <w:sz w:val="22"/>
          <w:szCs w:val="22"/>
        </w:rPr>
        <w:t>di ess</w:t>
      </w:r>
      <w:r w:rsidR="00DE32CF">
        <w:rPr>
          <w:rFonts w:ascii="Arial" w:hAnsi="Arial" w:cs="Arial"/>
          <w:sz w:val="22"/>
          <w:szCs w:val="22"/>
        </w:rPr>
        <w:t>ere docente precaria</w:t>
      </w:r>
      <w:r w:rsidR="0046126F">
        <w:rPr>
          <w:rFonts w:ascii="Arial" w:hAnsi="Arial" w:cs="Arial"/>
          <w:sz w:val="22"/>
          <w:szCs w:val="22"/>
        </w:rPr>
        <w:t xml:space="preserve"> attu</w:t>
      </w:r>
      <w:r w:rsidR="00DE32CF">
        <w:rPr>
          <w:rFonts w:ascii="Arial" w:hAnsi="Arial" w:cs="Arial"/>
          <w:sz w:val="22"/>
          <w:szCs w:val="22"/>
        </w:rPr>
        <w:t>almente inserita</w:t>
      </w:r>
      <w:r w:rsidR="0046126F">
        <w:rPr>
          <w:rFonts w:ascii="Arial" w:hAnsi="Arial" w:cs="Arial"/>
          <w:sz w:val="22"/>
          <w:szCs w:val="22"/>
        </w:rPr>
        <w:t xml:space="preserve"> nella II fascia delle Gradua</w:t>
      </w:r>
      <w:r w:rsidR="00DE32CF">
        <w:rPr>
          <w:rFonts w:ascii="Arial" w:hAnsi="Arial" w:cs="Arial"/>
          <w:sz w:val="22"/>
          <w:szCs w:val="22"/>
        </w:rPr>
        <w:t>torie di Circolo e di Istituto, come da titolo si servizio allegati (all. n. 3)</w:t>
      </w:r>
      <w:r>
        <w:rPr>
          <w:rFonts w:ascii="Arial" w:hAnsi="Arial" w:cs="Arial"/>
          <w:sz w:val="22"/>
          <w:szCs w:val="22"/>
        </w:rPr>
        <w:t>;</w:t>
      </w:r>
    </w:p>
    <w:p w14:paraId="0116FD1D" w14:textId="7293D4D6" w:rsidR="0046126F" w:rsidRDefault="0046126F" w:rsidP="00B02396">
      <w:pPr>
        <w:pStyle w:val="Paragrafoelenco"/>
        <w:numPr>
          <w:ilvl w:val="0"/>
          <w:numId w:val="3"/>
        </w:numPr>
        <w:autoSpaceDE w:val="0"/>
        <w:autoSpaceDN w:val="0"/>
        <w:adjustRightInd w:val="0"/>
        <w:spacing w:line="360" w:lineRule="auto"/>
        <w:ind w:left="57" w:right="1418"/>
        <w:jc w:val="both"/>
        <w:rPr>
          <w:rFonts w:ascii="Arial" w:hAnsi="Arial" w:cs="Arial"/>
          <w:sz w:val="22"/>
          <w:szCs w:val="22"/>
        </w:rPr>
      </w:pPr>
      <w:r>
        <w:rPr>
          <w:rFonts w:ascii="Arial" w:hAnsi="Arial" w:cs="Arial"/>
          <w:sz w:val="22"/>
          <w:szCs w:val="22"/>
        </w:rPr>
        <w:t>di aver prestato servizio all’interno di Istituti Scolastici da oltre tre anni onde poter accedere al corso speciale per l’abilitazione all’insegnamento (PAS);</w:t>
      </w:r>
    </w:p>
    <w:p w14:paraId="21E436D4" w14:textId="426D3D11" w:rsidR="00763A5E" w:rsidRPr="0056268B" w:rsidRDefault="00424965" w:rsidP="00B02396">
      <w:pPr>
        <w:pStyle w:val="Paragrafoelenco"/>
        <w:numPr>
          <w:ilvl w:val="0"/>
          <w:numId w:val="3"/>
        </w:numPr>
        <w:autoSpaceDE w:val="0"/>
        <w:autoSpaceDN w:val="0"/>
        <w:adjustRightInd w:val="0"/>
        <w:spacing w:line="360" w:lineRule="auto"/>
        <w:ind w:left="57" w:right="1418"/>
        <w:jc w:val="both"/>
        <w:rPr>
          <w:rFonts w:ascii="Arial" w:hAnsi="Arial" w:cs="Arial"/>
          <w:sz w:val="22"/>
          <w:szCs w:val="22"/>
        </w:rPr>
      </w:pPr>
      <w:r w:rsidRPr="0056268B">
        <w:rPr>
          <w:rFonts w:ascii="Arial" w:hAnsi="Arial" w:cs="Arial"/>
          <w:sz w:val="22"/>
          <w:szCs w:val="22"/>
        </w:rPr>
        <w:t xml:space="preserve">di non avere mai potuto chiedere ed ottenere l’inserimento nelle graduatorie permanenti, oggi ad esaurimento (cd. GAE, così trasformate con art. 1 comma 605 lett. C l. n. 296/2006), in quanto il MIUR, nei </w:t>
      </w:r>
      <w:r w:rsidR="001D4B5F" w:rsidRPr="0056268B">
        <w:rPr>
          <w:rFonts w:ascii="Arial" w:hAnsi="Arial" w:cs="Arial"/>
          <w:sz w:val="22"/>
          <w:szCs w:val="22"/>
        </w:rPr>
        <w:t xml:space="preserve">decreti ministeriali emanati in successione fino al D.M. n. 235/2014, ha sempre escluso la natura abilitante </w:t>
      </w:r>
      <w:r w:rsidR="0046126F">
        <w:rPr>
          <w:rFonts w:ascii="Arial" w:hAnsi="Arial" w:cs="Arial"/>
          <w:sz w:val="22"/>
          <w:szCs w:val="22"/>
        </w:rPr>
        <w:t>dei cd. PAS (percorsi abilitanti speciali)</w:t>
      </w:r>
      <w:r w:rsidR="001D4B5F" w:rsidRPr="0056268B">
        <w:rPr>
          <w:rFonts w:ascii="Arial" w:hAnsi="Arial" w:cs="Arial"/>
          <w:sz w:val="22"/>
          <w:szCs w:val="22"/>
        </w:rPr>
        <w:t>;</w:t>
      </w:r>
    </w:p>
    <w:p w14:paraId="2FCDB9D1" w14:textId="1F49ED69" w:rsidR="008E7BD4" w:rsidRPr="0056268B" w:rsidRDefault="00426FE0" w:rsidP="00B02396">
      <w:pPr>
        <w:pStyle w:val="Paragrafoelenco"/>
        <w:numPr>
          <w:ilvl w:val="0"/>
          <w:numId w:val="3"/>
        </w:numPr>
        <w:autoSpaceDE w:val="0"/>
        <w:autoSpaceDN w:val="0"/>
        <w:adjustRightInd w:val="0"/>
        <w:spacing w:line="360" w:lineRule="auto"/>
        <w:ind w:left="57" w:right="1418"/>
        <w:jc w:val="both"/>
        <w:rPr>
          <w:rFonts w:ascii="Arial" w:hAnsi="Arial" w:cs="Arial"/>
          <w:sz w:val="22"/>
          <w:szCs w:val="22"/>
        </w:rPr>
      </w:pPr>
      <w:r>
        <w:rPr>
          <w:rFonts w:ascii="Arial" w:hAnsi="Arial" w:cs="Arial"/>
          <w:sz w:val="22"/>
          <w:szCs w:val="22"/>
        </w:rPr>
        <w:t>che con D.M. MIUR 58/13 art. 1 sono stati attivati, da parte degli Atenei ed altre Istituzioni, corsi speciali per il conseguimento dell’abilitazione all’insegnamento – denominati percorsi abilitanti speciali (PAS) – per i docenti privi della specifica abilitazione che avevano prestato a decorrere dall’anno scolastico 1999/2000 e sino all’anno scolastico 2011/2012 incluso, almeno tre anni di servizio in scuole statali, paritarie ovvero in centri di formazione professionale. Senonchè l’art.</w:t>
      </w:r>
      <w:r w:rsidR="00FF1C6C">
        <w:rPr>
          <w:rFonts w:ascii="Arial" w:hAnsi="Arial" w:cs="Arial"/>
          <w:sz w:val="22"/>
          <w:szCs w:val="22"/>
        </w:rPr>
        <w:t xml:space="preserve"> </w:t>
      </w:r>
      <w:r>
        <w:rPr>
          <w:rFonts w:ascii="Arial" w:hAnsi="Arial" w:cs="Arial"/>
          <w:sz w:val="22"/>
          <w:szCs w:val="22"/>
        </w:rPr>
        <w:t>4 reg. MIUR 25.03.2013 n. 81 sancisce che i titoli di abilitazione conseguenti al termine dei percorsi di cui al suddetto decreto non consentono l’inserimento in GAE di cui all’art. 1 comma 605 della L. 27.12.2006 n. 296, dando diritto esclusivamente all’iscrizione alla II fascia delle Graduatorie di Istituto ex art. 5 del Decreto del Ministro della Pubblica Istruzione 13.06.2007 n. 131 per la specifica classe di concorso o ambito disciplinare.</w:t>
      </w:r>
    </w:p>
    <w:p w14:paraId="43FB78CD" w14:textId="0F10A83B" w:rsidR="000503DE" w:rsidRDefault="00D95060" w:rsidP="00B02396">
      <w:pPr>
        <w:pStyle w:val="Paragrafoelenco"/>
        <w:numPr>
          <w:ilvl w:val="0"/>
          <w:numId w:val="3"/>
        </w:numPr>
        <w:autoSpaceDE w:val="0"/>
        <w:autoSpaceDN w:val="0"/>
        <w:adjustRightInd w:val="0"/>
        <w:spacing w:line="360" w:lineRule="auto"/>
        <w:ind w:left="57" w:right="1418"/>
        <w:jc w:val="both"/>
        <w:rPr>
          <w:rFonts w:ascii="Arial" w:hAnsi="Arial" w:cs="Arial"/>
          <w:sz w:val="22"/>
          <w:szCs w:val="22"/>
        </w:rPr>
      </w:pPr>
      <w:r w:rsidRPr="0056268B">
        <w:rPr>
          <w:rFonts w:ascii="Arial" w:hAnsi="Arial" w:cs="Arial"/>
          <w:sz w:val="22"/>
          <w:szCs w:val="22"/>
        </w:rPr>
        <w:lastRenderedPageBreak/>
        <w:t xml:space="preserve"> </w:t>
      </w:r>
      <w:r w:rsidR="00426FE0">
        <w:rPr>
          <w:rFonts w:ascii="Arial" w:hAnsi="Arial" w:cs="Arial"/>
          <w:sz w:val="22"/>
          <w:szCs w:val="22"/>
        </w:rPr>
        <w:t>Varie norme di rango primario hanno consentito ai doceti abilitati di inseri</w:t>
      </w:r>
      <w:r w:rsidR="00A77797">
        <w:rPr>
          <w:rFonts w:ascii="Arial" w:hAnsi="Arial" w:cs="Arial"/>
          <w:sz w:val="22"/>
          <w:szCs w:val="22"/>
        </w:rPr>
        <w:t>rsi nelle GAE originariamente denominate permanenti quali l’art. 2 comma 1, 2 e 4 L. 124/99, art. 1 comma 6 bis L. 306/200 e art. 1 comma 1 ter L. n. 143/04.</w:t>
      </w:r>
    </w:p>
    <w:p w14:paraId="112AF4A7" w14:textId="05D1CD15" w:rsidR="00274C82" w:rsidRPr="0056268B" w:rsidRDefault="00274C82" w:rsidP="00B02396">
      <w:pPr>
        <w:pStyle w:val="Paragrafoelenco"/>
        <w:numPr>
          <w:ilvl w:val="0"/>
          <w:numId w:val="3"/>
        </w:numPr>
        <w:autoSpaceDE w:val="0"/>
        <w:autoSpaceDN w:val="0"/>
        <w:adjustRightInd w:val="0"/>
        <w:spacing w:line="360" w:lineRule="auto"/>
        <w:ind w:left="57" w:right="1418"/>
        <w:jc w:val="both"/>
        <w:rPr>
          <w:rFonts w:ascii="Arial" w:hAnsi="Arial" w:cs="Arial"/>
          <w:sz w:val="22"/>
          <w:szCs w:val="22"/>
        </w:rPr>
      </w:pPr>
      <w:r w:rsidRPr="0056268B">
        <w:rPr>
          <w:rFonts w:ascii="Arial" w:hAnsi="Arial" w:cs="Arial"/>
          <w:sz w:val="22"/>
          <w:szCs w:val="22"/>
        </w:rPr>
        <w:t xml:space="preserve">Il ddl “Buona Scuola”, approvato definitivamente alla Camera in data 09/07/2015, </w:t>
      </w:r>
      <w:r w:rsidR="0080417E" w:rsidRPr="0056268B">
        <w:rPr>
          <w:rFonts w:ascii="Arial" w:hAnsi="Arial" w:cs="Arial"/>
          <w:sz w:val="22"/>
          <w:szCs w:val="22"/>
        </w:rPr>
        <w:t>ha stabilito</w:t>
      </w:r>
      <w:r w:rsidRPr="0056268B">
        <w:rPr>
          <w:rFonts w:ascii="Arial" w:hAnsi="Arial" w:cs="Arial"/>
          <w:sz w:val="22"/>
          <w:szCs w:val="22"/>
        </w:rPr>
        <w:t>, infine, fra le altre riforme, il numero di 100.701 assunzioni di precari già inseriti nelle GAE entro il 1 settembre 2015 (c.d. pian</w:t>
      </w:r>
      <w:r w:rsidR="00E27F2B" w:rsidRPr="0056268B">
        <w:rPr>
          <w:rFonts w:ascii="Arial" w:hAnsi="Arial" w:cs="Arial"/>
          <w:sz w:val="22"/>
          <w:szCs w:val="22"/>
        </w:rPr>
        <w:t>o straordinario di assunzioni).</w:t>
      </w:r>
    </w:p>
    <w:p w14:paraId="3A8FA22F" w14:textId="7134A1F5" w:rsidR="00A97E9B" w:rsidRPr="007D574F" w:rsidRDefault="00274C82" w:rsidP="00B02396">
      <w:pPr>
        <w:pStyle w:val="Paragrafoelenco"/>
        <w:numPr>
          <w:ilvl w:val="0"/>
          <w:numId w:val="3"/>
        </w:numPr>
        <w:autoSpaceDE w:val="0"/>
        <w:autoSpaceDN w:val="0"/>
        <w:adjustRightInd w:val="0"/>
        <w:spacing w:line="360" w:lineRule="auto"/>
        <w:ind w:left="57" w:right="1418"/>
        <w:jc w:val="both"/>
        <w:rPr>
          <w:rFonts w:ascii="Arial" w:hAnsi="Arial" w:cs="Arial"/>
          <w:sz w:val="22"/>
          <w:szCs w:val="22"/>
        </w:rPr>
      </w:pPr>
      <w:r w:rsidRPr="007D574F">
        <w:rPr>
          <w:rFonts w:ascii="Arial" w:hAnsi="Arial" w:cs="Arial"/>
          <w:sz w:val="22"/>
          <w:szCs w:val="22"/>
        </w:rPr>
        <w:t>L’odiern</w:t>
      </w:r>
      <w:r w:rsidR="00DE32CF">
        <w:rPr>
          <w:rFonts w:ascii="Arial" w:hAnsi="Arial" w:cs="Arial"/>
          <w:sz w:val="22"/>
          <w:szCs w:val="22"/>
        </w:rPr>
        <w:t>a</w:t>
      </w:r>
      <w:r w:rsidR="00FD1EA7" w:rsidRPr="007D574F">
        <w:rPr>
          <w:rFonts w:ascii="Arial" w:hAnsi="Arial" w:cs="Arial"/>
          <w:sz w:val="22"/>
          <w:szCs w:val="22"/>
        </w:rPr>
        <w:t xml:space="preserve"> istante, pertanto, </w:t>
      </w:r>
      <w:r w:rsidR="000B4B72" w:rsidRPr="007D574F">
        <w:rPr>
          <w:rFonts w:ascii="Arial" w:hAnsi="Arial" w:cs="Arial"/>
          <w:sz w:val="22"/>
          <w:szCs w:val="22"/>
        </w:rPr>
        <w:t>pur aven</w:t>
      </w:r>
      <w:r w:rsidR="009922E4" w:rsidRPr="007D574F">
        <w:rPr>
          <w:rFonts w:ascii="Arial" w:hAnsi="Arial" w:cs="Arial"/>
          <w:sz w:val="22"/>
          <w:szCs w:val="22"/>
        </w:rPr>
        <w:t>done diritto</w:t>
      </w:r>
      <w:r w:rsidR="000B4B72" w:rsidRPr="007D574F">
        <w:rPr>
          <w:rFonts w:ascii="Arial" w:hAnsi="Arial" w:cs="Arial"/>
          <w:sz w:val="22"/>
          <w:szCs w:val="22"/>
        </w:rPr>
        <w:t xml:space="preserve"> è</w:t>
      </w:r>
      <w:r w:rsidR="00904468" w:rsidRPr="007D574F">
        <w:rPr>
          <w:rFonts w:ascii="Arial" w:hAnsi="Arial" w:cs="Arial"/>
          <w:sz w:val="22"/>
          <w:szCs w:val="22"/>
        </w:rPr>
        <w:t xml:space="preserve"> rima</w:t>
      </w:r>
      <w:r w:rsidR="00DE32CF">
        <w:rPr>
          <w:rFonts w:ascii="Arial" w:hAnsi="Arial" w:cs="Arial"/>
          <w:sz w:val="22"/>
          <w:szCs w:val="22"/>
        </w:rPr>
        <w:t>sta</w:t>
      </w:r>
      <w:r w:rsidR="000B4B72" w:rsidRPr="007D574F">
        <w:rPr>
          <w:rFonts w:ascii="Arial" w:hAnsi="Arial" w:cs="Arial"/>
          <w:sz w:val="22"/>
          <w:szCs w:val="22"/>
        </w:rPr>
        <w:t xml:space="preserve"> </w:t>
      </w:r>
      <w:r w:rsidR="00DE32CF">
        <w:rPr>
          <w:rFonts w:ascii="Arial" w:hAnsi="Arial" w:cs="Arial"/>
          <w:sz w:val="22"/>
          <w:szCs w:val="22"/>
        </w:rPr>
        <w:t>“esclusa</w:t>
      </w:r>
      <w:r w:rsidRPr="007D574F">
        <w:rPr>
          <w:rFonts w:ascii="Arial" w:hAnsi="Arial" w:cs="Arial"/>
          <w:sz w:val="22"/>
          <w:szCs w:val="22"/>
        </w:rPr>
        <w:t>” dalle graduatorie provinciali ad esaurimento valide per le immissioni in ruol</w:t>
      </w:r>
      <w:r w:rsidR="008C3546" w:rsidRPr="007D574F">
        <w:rPr>
          <w:rFonts w:ascii="Arial" w:hAnsi="Arial" w:cs="Arial"/>
          <w:sz w:val="22"/>
          <w:szCs w:val="22"/>
        </w:rPr>
        <w:t>o.</w:t>
      </w:r>
    </w:p>
    <w:p w14:paraId="78DF7E77" w14:textId="70D5B9B0" w:rsidR="00B67D2D" w:rsidRPr="00DE32CF" w:rsidRDefault="0021422C" w:rsidP="00DE32CF">
      <w:pPr>
        <w:pStyle w:val="Paragrafoelenco"/>
        <w:pBdr>
          <w:bottom w:val="dotted" w:sz="24" w:space="1" w:color="auto"/>
        </w:pBdr>
        <w:autoSpaceDE w:val="0"/>
        <w:autoSpaceDN w:val="0"/>
        <w:adjustRightInd w:val="0"/>
        <w:spacing w:line="360" w:lineRule="auto"/>
        <w:ind w:left="57" w:right="1418"/>
        <w:jc w:val="both"/>
        <w:rPr>
          <w:rFonts w:ascii="Arial" w:hAnsi="Arial" w:cs="Arial"/>
          <w:sz w:val="22"/>
          <w:szCs w:val="22"/>
        </w:rPr>
      </w:pPr>
      <w:r w:rsidRPr="0056268B">
        <w:rPr>
          <w:rFonts w:ascii="Arial" w:hAnsi="Arial" w:cs="Arial"/>
          <w:sz w:val="22"/>
          <w:szCs w:val="22"/>
        </w:rPr>
        <w:t>Queste le circostanze di fatto.</w:t>
      </w:r>
    </w:p>
    <w:p w14:paraId="19DF7E25" w14:textId="1EE4E8CB" w:rsidR="00B67D2D" w:rsidRDefault="00DE32CF" w:rsidP="00DE32CF">
      <w:pPr>
        <w:pStyle w:val="NormaleWeb"/>
        <w:numPr>
          <w:ilvl w:val="0"/>
          <w:numId w:val="24"/>
        </w:numPr>
        <w:spacing w:line="360" w:lineRule="auto"/>
        <w:ind w:right="1418"/>
        <w:jc w:val="both"/>
        <w:rPr>
          <w:rFonts w:ascii="Arial" w:hAnsi="Arial" w:cs="Arial"/>
          <w:sz w:val="22"/>
          <w:szCs w:val="22"/>
        </w:rPr>
      </w:pPr>
      <w:r>
        <w:rPr>
          <w:rFonts w:ascii="Arial" w:hAnsi="Arial" w:cs="Arial"/>
          <w:b/>
          <w:sz w:val="22"/>
          <w:szCs w:val="22"/>
        </w:rPr>
        <w:t>Sull</w:t>
      </w:r>
      <w:r w:rsidR="00B67D2D" w:rsidRPr="00B67D2D">
        <w:rPr>
          <w:rFonts w:ascii="Arial" w:hAnsi="Arial" w:cs="Arial"/>
          <w:b/>
          <w:sz w:val="22"/>
          <w:szCs w:val="22"/>
        </w:rPr>
        <w:t>’EVOLUZIONE DEL SISTEMA DI RECLUTAMENTO E DI ABILITAZIONE DEI DOCENTI</w:t>
      </w:r>
      <w:r w:rsidR="00B67D2D" w:rsidRPr="00B67D2D">
        <w:rPr>
          <w:rFonts w:ascii="Arial" w:hAnsi="Arial" w:cs="Arial"/>
          <w:sz w:val="22"/>
          <w:szCs w:val="22"/>
        </w:rPr>
        <w:t xml:space="preserve">. </w:t>
      </w:r>
    </w:p>
    <w:p w14:paraId="0E375075" w14:textId="77777777" w:rsidR="00B67D2D"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Il reclutamento dei docenti è disciplinato dagli artt. 399 e 401 del Dlg. n. 297/1994 (TU in </w:t>
      </w:r>
      <w:r>
        <w:rPr>
          <w:rFonts w:ascii="Arial" w:hAnsi="Arial" w:cs="Arial"/>
          <w:sz w:val="22"/>
          <w:szCs w:val="22"/>
        </w:rPr>
        <w:t xml:space="preserve">materia scolastica) </w:t>
      </w:r>
      <w:r w:rsidRPr="00B67D2D">
        <w:rPr>
          <w:rFonts w:ascii="Arial" w:hAnsi="Arial" w:cs="Arial"/>
          <w:sz w:val="22"/>
          <w:szCs w:val="22"/>
        </w:rPr>
        <w:t>così come rif</w:t>
      </w:r>
      <w:r>
        <w:rPr>
          <w:rFonts w:ascii="Arial" w:hAnsi="Arial" w:cs="Arial"/>
          <w:sz w:val="22"/>
          <w:szCs w:val="22"/>
        </w:rPr>
        <w:t>ormati dalla Legge n. 124/1999.</w:t>
      </w:r>
    </w:p>
    <w:p w14:paraId="7CFFBE8E" w14:textId="77777777" w:rsidR="00B67D2D"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In particolare, gli articoli appena richiamati prevedono che il 50% dei posti disponibili per le assunzioni a tempo indeterminato avviene attingendo dalle Graduatorie di Merito dei concorsi per titoli ed esami, mentre il restante 50 % avviene attingendo dal</w:t>
      </w:r>
      <w:r>
        <w:rPr>
          <w:rFonts w:ascii="Arial" w:hAnsi="Arial" w:cs="Arial"/>
          <w:sz w:val="22"/>
          <w:szCs w:val="22"/>
        </w:rPr>
        <w:t xml:space="preserve">le Graduatorie Permanenti (GP). </w:t>
      </w:r>
      <w:r w:rsidRPr="00B67D2D">
        <w:rPr>
          <w:rFonts w:ascii="Arial" w:hAnsi="Arial" w:cs="Arial"/>
          <w:sz w:val="22"/>
          <w:szCs w:val="22"/>
        </w:rPr>
        <w:t>Queste ultime, introdotte dalla Legge n. 124/1999, erano annualmente aggiornabili con nuovi inserimenti da parte dei docenti che nel frattempo avessero conseguito l’abilitazione all’insegnamento. Al tempo in cui è entrata in vigore la predetta legge n. 124/1999 il sistema di abilitazione vigente prevedeva la frequentazione delle Scuole di Specializzazione all’insegnamento Secondario (denominate SSIS) introdotte con la Legge n. 341/1990 i cui corsi di formazione erano attivati dagli Atenei Universitari e duravano circa due anni. Per accedere ai corsi era necessario superare una dura preselezione, pagare una retta piuttosto elevata, frequentare le lezioni e superare l’esame finale abilitante all’insegnamento a tutti gli effetti.</w:t>
      </w:r>
      <w:r w:rsidRPr="00B67D2D">
        <w:rPr>
          <w:rFonts w:ascii="Arial" w:eastAsia="MingLiU" w:hAnsi="Arial" w:cs="Arial"/>
          <w:sz w:val="22"/>
          <w:szCs w:val="22"/>
        </w:rPr>
        <w:br/>
      </w:r>
      <w:r w:rsidRPr="00B67D2D">
        <w:rPr>
          <w:rFonts w:ascii="Arial" w:hAnsi="Arial" w:cs="Arial"/>
          <w:sz w:val="22"/>
          <w:szCs w:val="22"/>
        </w:rPr>
        <w:t xml:space="preserve">Con il titolo così conseguito i docenti potevano presentare domanda di inserimento nelle Graduatorie Permanenti allora in vigore ed aspirare anche per tale via, oltre a quella concorsuale, ad essere assunti a tempo indeterminato. </w:t>
      </w:r>
    </w:p>
    <w:p w14:paraId="2116202A" w14:textId="77777777" w:rsidR="00B67D2D"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Con la Legge n. 296/2006 (Fin. 2007) le Graduatorie Permanenti annualmente aggiornabili venivano trasformate in Graduatorie ad Esaurimento (GAE) per le quali era p</w:t>
      </w:r>
      <w:r>
        <w:rPr>
          <w:rFonts w:ascii="Arial" w:hAnsi="Arial" w:cs="Arial"/>
          <w:sz w:val="22"/>
          <w:szCs w:val="22"/>
        </w:rPr>
        <w:t>recluso ogni nuovo inserimento.</w:t>
      </w:r>
    </w:p>
    <w:p w14:paraId="28D774C1" w14:textId="77777777" w:rsidR="00B67D2D"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In realtà, la asserita chiusura delle predette Graduatorie è più teorica che effettiva. La stessa Finanziaria del 2007 infatti faceva salvi gli inserimenti in GAE a favore di tutti i docenti che, </w:t>
      </w:r>
      <w:r w:rsidRPr="00B67D2D">
        <w:rPr>
          <w:rFonts w:ascii="Arial" w:hAnsi="Arial" w:cs="Arial"/>
          <w:sz w:val="22"/>
          <w:szCs w:val="22"/>
        </w:rPr>
        <w:lastRenderedPageBreak/>
        <w:t>all’atto della loro chiusura, frequentavano le SSIS ed avrebbero ottenuto il titolo abilitante dopo qualche anno. In altre parole, nonostante la Legge avesse chiuso teoricamente l’ingresso nelle GAE è la Legge stessa a prevedere una (prima) eccezione facendo salve le posizioni dei docenti che avessero iniziato il Corso abilitante prima della trasformazione</w:t>
      </w:r>
      <w:r>
        <w:rPr>
          <w:rFonts w:ascii="Arial" w:hAnsi="Arial" w:cs="Arial"/>
          <w:sz w:val="22"/>
          <w:szCs w:val="22"/>
        </w:rPr>
        <w:t xml:space="preserve"> delle GP.</w:t>
      </w:r>
    </w:p>
    <w:p w14:paraId="21C121B7" w14:textId="77777777" w:rsidR="00B67D2D" w:rsidRDefault="00B67D2D" w:rsidP="00B02396">
      <w:pPr>
        <w:pStyle w:val="NormaleWeb"/>
        <w:spacing w:before="0" w:beforeAutospacing="0" w:after="0" w:afterAutospacing="0" w:line="360" w:lineRule="auto"/>
        <w:ind w:left="57" w:right="1418"/>
        <w:jc w:val="both"/>
        <w:rPr>
          <w:rFonts w:ascii="Arial" w:hAnsi="Arial" w:cs="Arial"/>
          <w:sz w:val="22"/>
          <w:szCs w:val="22"/>
        </w:rPr>
      </w:pPr>
      <w:r>
        <w:rPr>
          <w:rFonts w:ascii="Arial" w:hAnsi="Arial" w:cs="Arial"/>
          <w:sz w:val="22"/>
          <w:szCs w:val="22"/>
        </w:rPr>
        <w:t xml:space="preserve">Ma vi è di più. </w:t>
      </w:r>
      <w:r w:rsidRPr="00B67D2D">
        <w:rPr>
          <w:rFonts w:ascii="Arial" w:hAnsi="Arial" w:cs="Arial"/>
          <w:sz w:val="22"/>
          <w:szCs w:val="22"/>
        </w:rPr>
        <w:t xml:space="preserve">Nell’anno accademico 2007/2008 il Miur ha attivato nuovi corsi di formazione tra cui il IX (ed ultimo) ciclo di abilitazione presso le SSIS ancora attive almeno fino </w:t>
      </w:r>
      <w:r>
        <w:rPr>
          <w:rFonts w:ascii="Arial" w:hAnsi="Arial" w:cs="Arial"/>
          <w:sz w:val="22"/>
          <w:szCs w:val="22"/>
        </w:rPr>
        <w:t>alla Legge n. 133/2008 che di lì</w:t>
      </w:r>
      <w:r w:rsidRPr="00B67D2D">
        <w:rPr>
          <w:rFonts w:ascii="Arial" w:hAnsi="Arial" w:cs="Arial"/>
          <w:sz w:val="22"/>
          <w:szCs w:val="22"/>
        </w:rPr>
        <w:t xml:space="preserve"> a poco ne avrebbe previsto la soppressione. Anche in questo caso il Legislatore, per evitare che l’abilitazione così conseguita non producesse alcun effetto a causa della chiusura delle GAE, interveniva con la Legge n. 169/2008 (art. 5 bis) introducendo una seconda eccezione e facendo salvi gli inserimenti nelle GAE dei predetti docenti. La Legge appena richiamata non solo dimostra che l’inserimento in GAE è consentito anche a tutti i docenti che hanno conseguito l’abilitazione frequentando corsi attivati dopo la chiusura delle GAE stesse, ma costituisce una abrogazione implicita e/o comunque un superamento della Legge Finanziaria 2007 nella parte in cui fa ritenere che le GAE siano da ritenersi definitivamente chiuse. A ben guadare infatti, i docenti che la Legge n. 169/2008 tutela, garantendo loro l’ingresso in G</w:t>
      </w:r>
      <w:r>
        <w:rPr>
          <w:rFonts w:ascii="Arial" w:hAnsi="Arial" w:cs="Arial"/>
          <w:sz w:val="22"/>
          <w:szCs w:val="22"/>
        </w:rPr>
        <w:t>AE, sono docenti, al pari dell’odierno ricorrente</w:t>
      </w:r>
      <w:r w:rsidRPr="00B67D2D">
        <w:rPr>
          <w:rFonts w:ascii="Arial" w:hAnsi="Arial" w:cs="Arial"/>
          <w:sz w:val="22"/>
          <w:szCs w:val="22"/>
        </w:rPr>
        <w:t xml:space="preserve">, che hanno ottenuto il titolo frequentando corsi di abilitazione attivati dopo la trasformazione delle GP in GAE e quindi dopo la loro asserita chiusura. </w:t>
      </w:r>
    </w:p>
    <w:p w14:paraId="19A5AECA" w14:textId="77777777" w:rsidR="00B67D2D"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Quanto detto è altresì acclarato dalla riforma del sistema di abilitazione introdotto con la Legge n. 244/2007 (Finanziaria 2008) ed attuata dal DM n. 249/2010, che ha sostituito le </w:t>
      </w:r>
      <w:r>
        <w:rPr>
          <w:rFonts w:ascii="Arial" w:hAnsi="Arial" w:cs="Arial"/>
          <w:sz w:val="22"/>
          <w:szCs w:val="22"/>
        </w:rPr>
        <w:t>SSIS con gli attuali TFA e PAS.</w:t>
      </w:r>
    </w:p>
    <w:p w14:paraId="618E9E05" w14:textId="77777777" w:rsidR="00B67D2D"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Il Tirocinio Formativo Attivo (TFA) e il Percorso Abilitante Speciale (PAS) sono dunque le nuove modalità di abilitazione all’insegnamento introdotti con decorrenza dal 2011. </w:t>
      </w:r>
    </w:p>
    <w:p w14:paraId="5ACCC5B6" w14:textId="77777777" w:rsidR="00B67D2D"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Tutti i docenti che oggi intendono abilitarsi devono percorrere uno dei due sistemi formativi frequentando i corsi che sono attivati dagli Atenei Universitari e che, al pari delle soppresse SSIS, richiedono il superamento di una dura preselezione, il pagamento di una retta di circa € 2.500,00 e il superamento di un esame finale anch’esso abilitante a tutti gli effetti. </w:t>
      </w:r>
    </w:p>
    <w:p w14:paraId="546106F0" w14:textId="4964CFC2" w:rsidR="00B67D2D" w:rsidRPr="006A3163"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A ogni buon conto, nessun dubbio sussiste sul f</w:t>
      </w:r>
      <w:r w:rsidR="00E20FAB">
        <w:rPr>
          <w:rFonts w:ascii="Arial" w:hAnsi="Arial" w:cs="Arial"/>
          <w:sz w:val="22"/>
          <w:szCs w:val="22"/>
        </w:rPr>
        <w:t>atto che i titoli conseguiti dalla ricorrente</w:t>
      </w:r>
      <w:r w:rsidRPr="00B67D2D">
        <w:rPr>
          <w:rFonts w:ascii="Arial" w:hAnsi="Arial" w:cs="Arial"/>
          <w:sz w:val="22"/>
          <w:szCs w:val="22"/>
        </w:rPr>
        <w:t xml:space="preserve"> frequentando i</w:t>
      </w:r>
      <w:r w:rsidR="00E20FAB">
        <w:rPr>
          <w:rFonts w:ascii="Arial" w:hAnsi="Arial" w:cs="Arial"/>
          <w:sz w:val="22"/>
          <w:szCs w:val="22"/>
        </w:rPr>
        <w:t>l</w:t>
      </w:r>
      <w:r w:rsidRPr="00B67D2D">
        <w:rPr>
          <w:rFonts w:ascii="Arial" w:hAnsi="Arial" w:cs="Arial"/>
          <w:sz w:val="22"/>
          <w:szCs w:val="22"/>
        </w:rPr>
        <w:t xml:space="preserve"> PAS </w:t>
      </w:r>
      <w:r w:rsidR="00E20FAB">
        <w:rPr>
          <w:rFonts w:ascii="Arial" w:hAnsi="Arial" w:cs="Arial"/>
          <w:sz w:val="22"/>
          <w:szCs w:val="22"/>
        </w:rPr>
        <w:t>abbia</w:t>
      </w:r>
      <w:r w:rsidRPr="00B67D2D">
        <w:rPr>
          <w:rFonts w:ascii="Arial" w:hAnsi="Arial" w:cs="Arial"/>
          <w:sz w:val="22"/>
          <w:szCs w:val="22"/>
        </w:rPr>
        <w:t xml:space="preserve"> lo stesso valore di quelli conseguiti con il vecchio s</w:t>
      </w:r>
      <w:r w:rsidR="006A3163">
        <w:rPr>
          <w:rFonts w:ascii="Arial" w:hAnsi="Arial" w:cs="Arial"/>
          <w:sz w:val="22"/>
          <w:szCs w:val="22"/>
        </w:rPr>
        <w:t>istema (SSIS) dai docenti che poi sono stati inseriti in GAE, innanzitutt</w:t>
      </w:r>
      <w:r w:rsidRPr="00B67D2D">
        <w:rPr>
          <w:rFonts w:ascii="Arial" w:hAnsi="Arial" w:cs="Arial"/>
          <w:sz w:val="22"/>
          <w:szCs w:val="22"/>
        </w:rPr>
        <w:t>o perché la Finanziaria 2008 e il D.M. n. 249/2015 (che hanno sostituito le SSIS con PAS e TFA), non distinguono in alcun modo, e non potrebbero fare altrimenti, tra valore abilitante conseguit</w:t>
      </w:r>
      <w:r w:rsidR="006A3163">
        <w:rPr>
          <w:rFonts w:ascii="Arial" w:hAnsi="Arial" w:cs="Arial"/>
          <w:sz w:val="22"/>
          <w:szCs w:val="22"/>
        </w:rPr>
        <w:t>o con un sistema o con l’altro; i</w:t>
      </w:r>
      <w:r w:rsidRPr="00B67D2D">
        <w:rPr>
          <w:rFonts w:ascii="Arial" w:hAnsi="Arial" w:cs="Arial"/>
          <w:sz w:val="22"/>
          <w:szCs w:val="22"/>
        </w:rPr>
        <w:t xml:space="preserve">noltre perché i docenti che hanno frequentato l’ultimo corso delle SSIS (soppresso durante </w:t>
      </w:r>
      <w:r w:rsidRPr="00B67D2D">
        <w:rPr>
          <w:rFonts w:ascii="Arial" w:hAnsi="Arial" w:cs="Arial"/>
          <w:sz w:val="22"/>
          <w:szCs w:val="22"/>
        </w:rPr>
        <w:lastRenderedPageBreak/>
        <w:t>la frequentazione), hanno poi terminato il corso stesso come TFA ed ottenuto, formalmente, l’abilitazione come iscritti al nuovo percorso formativo.</w:t>
      </w:r>
    </w:p>
    <w:p w14:paraId="7FDDF7D3" w14:textId="77777777" w:rsidR="00B67D2D"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Da quanto rilevato appare evidente che tra il sistema di abilitazione costituito dalle soppresse SSIS ed il nuovo costituito da PAS e TFA non esiste soluzione di continuità e che il titolo di abilitazione acquisito oggi tramite i nuovi percorsi formativi hanno lo stesso valore abilitante del primo. </w:t>
      </w:r>
    </w:p>
    <w:p w14:paraId="0410E512" w14:textId="32520135" w:rsidR="00B67D2D"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Quanto detto è di particolare importanza ove solo si consideri che sia le Legge Finanziaria 2007 sia la Legge n. 169/2008 hanno consentito a tutti i docenti abilitati tramite SSIS ad inserirsi nelle GAE anche dopo la chiusura di queste ultime. Fac</w:t>
      </w:r>
      <w:r>
        <w:rPr>
          <w:rFonts w:ascii="Arial" w:hAnsi="Arial" w:cs="Arial"/>
          <w:sz w:val="22"/>
          <w:szCs w:val="22"/>
        </w:rPr>
        <w:t>oltà che invece viene negata al</w:t>
      </w:r>
      <w:r w:rsidR="00E20FAB">
        <w:rPr>
          <w:rFonts w:ascii="Arial" w:hAnsi="Arial" w:cs="Arial"/>
          <w:sz w:val="22"/>
          <w:szCs w:val="22"/>
        </w:rPr>
        <w:t>la</w:t>
      </w:r>
      <w:r>
        <w:rPr>
          <w:rFonts w:ascii="Arial" w:hAnsi="Arial" w:cs="Arial"/>
          <w:sz w:val="22"/>
          <w:szCs w:val="22"/>
        </w:rPr>
        <w:t xml:space="preserve"> ricorrente </w:t>
      </w:r>
      <w:r w:rsidRPr="00B67D2D">
        <w:rPr>
          <w:rFonts w:ascii="Arial" w:hAnsi="Arial" w:cs="Arial"/>
          <w:sz w:val="22"/>
          <w:szCs w:val="22"/>
        </w:rPr>
        <w:t>dall’art. 9 del DM n. 235/2014 di aggiornamento delle GAE per il triennio 2014/2017 e dell’art. 4 del recente DM n. 326/2015 che non consentono nuovi inserimenti e che prevedono la presentazione della domanda esclusivamente via WEB tramite il sito istituzionale del Miur che tuttavia, non riconoscendo il valore abil</w:t>
      </w:r>
      <w:r>
        <w:rPr>
          <w:rFonts w:ascii="Arial" w:hAnsi="Arial" w:cs="Arial"/>
          <w:sz w:val="22"/>
          <w:szCs w:val="22"/>
        </w:rPr>
        <w:t>itante del titolo conseguito dal</w:t>
      </w:r>
      <w:r w:rsidR="00E20FAB">
        <w:rPr>
          <w:rFonts w:ascii="Arial" w:hAnsi="Arial" w:cs="Arial"/>
          <w:sz w:val="22"/>
          <w:szCs w:val="22"/>
        </w:rPr>
        <w:t>la</w:t>
      </w:r>
      <w:r>
        <w:rPr>
          <w:rFonts w:ascii="Arial" w:hAnsi="Arial" w:cs="Arial"/>
          <w:sz w:val="22"/>
          <w:szCs w:val="22"/>
        </w:rPr>
        <w:t xml:space="preserve"> ricorrente</w:t>
      </w:r>
      <w:r w:rsidRPr="00B67D2D">
        <w:rPr>
          <w:rFonts w:ascii="Arial" w:hAnsi="Arial" w:cs="Arial"/>
          <w:sz w:val="22"/>
          <w:szCs w:val="22"/>
        </w:rPr>
        <w:t xml:space="preserve">, non consente loro nessun invio. </w:t>
      </w:r>
    </w:p>
    <w:p w14:paraId="3E77621E" w14:textId="77777777" w:rsidR="00B67D2D" w:rsidRDefault="00B67D2D" w:rsidP="00B02396">
      <w:pPr>
        <w:pStyle w:val="NormaleWeb"/>
        <w:spacing w:before="0" w:beforeAutospacing="0" w:after="0" w:afterAutospacing="0" w:line="360" w:lineRule="auto"/>
        <w:ind w:left="57" w:right="1418"/>
        <w:jc w:val="both"/>
        <w:rPr>
          <w:rFonts w:ascii="Arial" w:hAnsi="Arial" w:cs="Arial"/>
          <w:sz w:val="22"/>
          <w:szCs w:val="22"/>
        </w:rPr>
      </w:pPr>
    </w:p>
    <w:p w14:paraId="1283033E" w14:textId="4F343856" w:rsidR="006A3163" w:rsidRDefault="00B67D2D" w:rsidP="00B02396">
      <w:pPr>
        <w:pStyle w:val="NormaleWeb"/>
        <w:numPr>
          <w:ilvl w:val="0"/>
          <w:numId w:val="18"/>
        </w:numPr>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I</w:t>
      </w:r>
      <w:r w:rsidRPr="005E52EE">
        <w:rPr>
          <w:rFonts w:ascii="Arial" w:hAnsi="Arial" w:cs="Arial"/>
          <w:b/>
          <w:sz w:val="22"/>
          <w:szCs w:val="22"/>
        </w:rPr>
        <w:t>LLEGITTIMITA’ DEL COMPORTAMENTO DEL MIUR E DEI PROPRI DECRETI</w:t>
      </w:r>
      <w:r w:rsidRPr="00B67D2D">
        <w:rPr>
          <w:rFonts w:ascii="Arial" w:eastAsia="MingLiU" w:hAnsi="Arial" w:cs="Arial"/>
          <w:sz w:val="22"/>
          <w:szCs w:val="22"/>
        </w:rPr>
        <w:br/>
      </w:r>
      <w:r w:rsidRPr="006A3163">
        <w:rPr>
          <w:rFonts w:ascii="Arial" w:hAnsi="Arial" w:cs="Arial"/>
          <w:b/>
          <w:sz w:val="22"/>
          <w:szCs w:val="22"/>
        </w:rPr>
        <w:t xml:space="preserve">1) </w:t>
      </w:r>
      <w:r w:rsidR="006A3163">
        <w:rPr>
          <w:rFonts w:ascii="Arial" w:hAnsi="Arial" w:cs="Arial"/>
          <w:b/>
          <w:sz w:val="22"/>
          <w:szCs w:val="22"/>
        </w:rPr>
        <w:t>sulla violazione artt. 3, 51 e 35</w:t>
      </w:r>
      <w:r w:rsidR="006A3163" w:rsidRPr="006A3163">
        <w:rPr>
          <w:rFonts w:ascii="Arial" w:hAnsi="Arial" w:cs="Arial"/>
          <w:b/>
          <w:sz w:val="22"/>
          <w:szCs w:val="22"/>
        </w:rPr>
        <w:t xml:space="preserve"> della Costituzione:</w:t>
      </w:r>
    </w:p>
    <w:p w14:paraId="151412A5" w14:textId="2981B16F" w:rsidR="006A3163"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6A3163">
        <w:rPr>
          <w:rFonts w:ascii="Arial" w:hAnsi="Arial" w:cs="Arial"/>
          <w:sz w:val="22"/>
          <w:szCs w:val="22"/>
        </w:rPr>
        <w:t>Dalla ricostruzione appena effettuata emerge chiaramente come il comportamento del Miur che nega con i propri De</w:t>
      </w:r>
      <w:r w:rsidR="005E52EE" w:rsidRPr="006A3163">
        <w:rPr>
          <w:rFonts w:ascii="Arial" w:hAnsi="Arial" w:cs="Arial"/>
          <w:sz w:val="22"/>
          <w:szCs w:val="22"/>
        </w:rPr>
        <w:t xml:space="preserve">creti </w:t>
      </w:r>
      <w:r w:rsidR="00E20FAB">
        <w:rPr>
          <w:rFonts w:ascii="Arial" w:hAnsi="Arial" w:cs="Arial"/>
          <w:sz w:val="22"/>
          <w:szCs w:val="22"/>
        </w:rPr>
        <w:t>l’inserimento in GAE all’odierna</w:t>
      </w:r>
      <w:r w:rsidR="005E52EE" w:rsidRPr="006A3163">
        <w:rPr>
          <w:rFonts w:ascii="Arial" w:hAnsi="Arial" w:cs="Arial"/>
          <w:sz w:val="22"/>
          <w:szCs w:val="22"/>
        </w:rPr>
        <w:t xml:space="preserve"> ricorrente</w:t>
      </w:r>
      <w:r w:rsidRPr="006A3163">
        <w:rPr>
          <w:rFonts w:ascii="Arial" w:hAnsi="Arial" w:cs="Arial"/>
          <w:sz w:val="22"/>
          <w:szCs w:val="22"/>
        </w:rPr>
        <w:t xml:space="preserve"> sia del tutto illegittimo in quanto determina una evid</w:t>
      </w:r>
      <w:r w:rsidR="005E52EE" w:rsidRPr="006A3163">
        <w:rPr>
          <w:rFonts w:ascii="Arial" w:hAnsi="Arial" w:cs="Arial"/>
          <w:sz w:val="22"/>
          <w:szCs w:val="22"/>
        </w:rPr>
        <w:t xml:space="preserve">ente </w:t>
      </w:r>
      <w:r w:rsidR="00E20FAB">
        <w:rPr>
          <w:rFonts w:ascii="Arial" w:hAnsi="Arial" w:cs="Arial"/>
          <w:sz w:val="22"/>
          <w:szCs w:val="22"/>
        </w:rPr>
        <w:t>discriminazione tra quest’ultima</w:t>
      </w:r>
      <w:r w:rsidR="005E52EE" w:rsidRPr="006A3163">
        <w:rPr>
          <w:rFonts w:ascii="Arial" w:hAnsi="Arial" w:cs="Arial"/>
          <w:sz w:val="22"/>
          <w:szCs w:val="22"/>
        </w:rPr>
        <w:t xml:space="preserve"> </w:t>
      </w:r>
      <w:r w:rsidRPr="006A3163">
        <w:rPr>
          <w:rFonts w:ascii="Arial" w:hAnsi="Arial" w:cs="Arial"/>
          <w:sz w:val="22"/>
          <w:szCs w:val="22"/>
        </w:rPr>
        <w:t>e i docenti che invece sono stati inseriti in GAE anche dopo la loro chiusura, in virtù di un titolo aven</w:t>
      </w:r>
      <w:r w:rsidR="005E52EE" w:rsidRPr="006A3163">
        <w:rPr>
          <w:rFonts w:ascii="Arial" w:hAnsi="Arial" w:cs="Arial"/>
          <w:sz w:val="22"/>
          <w:szCs w:val="22"/>
        </w:rPr>
        <w:t>te lo stesso valore abilitante.</w:t>
      </w:r>
    </w:p>
    <w:p w14:paraId="4886E427" w14:textId="3E1C014F" w:rsidR="005E52EE"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In particolare è palese la violazione dei principi previsti dagli artt. 3 e 51 della Costituzione che garantiscono il diritto dei ricorrenti di accedere al Pubblico Impiego a condi</w:t>
      </w:r>
      <w:r w:rsidR="005E52EE">
        <w:rPr>
          <w:rFonts w:ascii="Arial" w:hAnsi="Arial" w:cs="Arial"/>
          <w:sz w:val="22"/>
          <w:szCs w:val="22"/>
        </w:rPr>
        <w:t>zioni di eguaglianza e parità.</w:t>
      </w:r>
    </w:p>
    <w:p w14:paraId="7354100B" w14:textId="39B24D71" w:rsidR="005E52EE"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In altre parole, </w:t>
      </w:r>
      <w:r w:rsidR="005E52EE">
        <w:rPr>
          <w:rFonts w:ascii="Arial" w:hAnsi="Arial" w:cs="Arial"/>
          <w:sz w:val="22"/>
          <w:szCs w:val="22"/>
        </w:rPr>
        <w:t>l’</w:t>
      </w:r>
      <w:r w:rsidR="00E20FAB">
        <w:rPr>
          <w:rFonts w:ascii="Arial" w:hAnsi="Arial" w:cs="Arial"/>
          <w:sz w:val="22"/>
          <w:szCs w:val="22"/>
        </w:rPr>
        <w:t>odierna</w:t>
      </w:r>
      <w:r w:rsidR="005E52EE">
        <w:rPr>
          <w:rFonts w:ascii="Arial" w:hAnsi="Arial" w:cs="Arial"/>
          <w:sz w:val="22"/>
          <w:szCs w:val="22"/>
        </w:rPr>
        <w:t xml:space="preserve"> ricorrente che ha</w:t>
      </w:r>
      <w:r w:rsidRPr="00B67D2D">
        <w:rPr>
          <w:rFonts w:ascii="Arial" w:hAnsi="Arial" w:cs="Arial"/>
          <w:sz w:val="22"/>
          <w:szCs w:val="22"/>
        </w:rPr>
        <w:t xml:space="preserve"> con sacrificio conseguito il titolo di abilitazio</w:t>
      </w:r>
      <w:r w:rsidR="005E52EE">
        <w:rPr>
          <w:rFonts w:ascii="Arial" w:hAnsi="Arial" w:cs="Arial"/>
          <w:sz w:val="22"/>
          <w:szCs w:val="22"/>
        </w:rPr>
        <w:t>ne ha</w:t>
      </w:r>
      <w:r w:rsidRPr="00B67D2D">
        <w:rPr>
          <w:rFonts w:ascii="Arial" w:hAnsi="Arial" w:cs="Arial"/>
          <w:sz w:val="22"/>
          <w:szCs w:val="22"/>
        </w:rPr>
        <w:t xml:space="preserve"> il diritto soggettivo costituzionalmente garantito di poter accedere al P.I. alle stesse condizioni cui possono accedere i docenti che</w:t>
      </w:r>
      <w:r w:rsidR="005E52EE">
        <w:rPr>
          <w:rFonts w:ascii="Arial" w:hAnsi="Arial" w:cs="Arial"/>
          <w:sz w:val="22"/>
          <w:szCs w:val="22"/>
        </w:rPr>
        <w:t xml:space="preserve"> si sono abilitati prima di lui</w:t>
      </w:r>
      <w:r w:rsidRPr="00B67D2D">
        <w:rPr>
          <w:rFonts w:ascii="Arial" w:hAnsi="Arial" w:cs="Arial"/>
          <w:sz w:val="22"/>
          <w:szCs w:val="22"/>
        </w:rPr>
        <w:t xml:space="preserve"> e ai quali sia la Finanziaria 2007, sia la Legge n. 169/2008 hanno riconosciuto il diritto ad essere inseriti nelle GAE.</w:t>
      </w:r>
      <w:r w:rsidRPr="00B67D2D">
        <w:rPr>
          <w:rFonts w:ascii="Arial" w:hAnsi="Arial" w:cs="Arial"/>
          <w:sz w:val="22"/>
          <w:szCs w:val="22"/>
        </w:rPr>
        <w:br/>
        <w:t xml:space="preserve">Il mancato accesso alle predette Graduatorie determina la illegittima chiusura di uno dei due canali di accesso al P.I. previsto dal T.U. in materia scolastica secondo cui il 50% dei posti disponibili per le assunzioni a tempo indeterminato avviene attingendo proprio dalle GAE. </w:t>
      </w:r>
    </w:p>
    <w:p w14:paraId="7A9E7016" w14:textId="77777777" w:rsidR="005E52EE"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Se a quanto detto aggiungiamo il fatto che l’altro canale di assunzioni costituito dalla partecipazione ai concorsi è in pratica congelato dal Miur che li ha banditi solo nel 1999 e nel </w:t>
      </w:r>
      <w:r w:rsidRPr="00B67D2D">
        <w:rPr>
          <w:rFonts w:ascii="Arial" w:hAnsi="Arial" w:cs="Arial"/>
          <w:sz w:val="22"/>
          <w:szCs w:val="22"/>
        </w:rPr>
        <w:lastRenderedPageBreak/>
        <w:t>2012, la possibilità concreta d</w:t>
      </w:r>
      <w:r w:rsidR="005E52EE">
        <w:rPr>
          <w:rFonts w:ascii="Arial" w:hAnsi="Arial" w:cs="Arial"/>
          <w:sz w:val="22"/>
          <w:szCs w:val="22"/>
        </w:rPr>
        <w:t>i accedere al ruolo da parte del ricorrente</w:t>
      </w:r>
      <w:r w:rsidRPr="00B67D2D">
        <w:rPr>
          <w:rFonts w:ascii="Arial" w:hAnsi="Arial" w:cs="Arial"/>
          <w:sz w:val="22"/>
          <w:szCs w:val="22"/>
        </w:rPr>
        <w:t xml:space="preserve"> è nulla con conseguente condanna ad una condizione di precariato perenne. </w:t>
      </w:r>
    </w:p>
    <w:p w14:paraId="1A80CB4B" w14:textId="77777777" w:rsidR="005E52EE"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Da ciò si comprende bene quindi che il mancato inserimento nelle GAE causa anche la violazione del diritto al lavoro garantito dall’art. 35 della Costituzione posto che le Graduatorie non solo sono condizione per accedere al ruolo, ma anche per ottenere le supplenze annuali e al termine delle attività didattiche. </w:t>
      </w:r>
    </w:p>
    <w:p w14:paraId="0D81725D" w14:textId="0851B0A9" w:rsidR="006A3163"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2) </w:t>
      </w:r>
      <w:r w:rsidR="006A3163">
        <w:rPr>
          <w:rFonts w:ascii="Arial" w:hAnsi="Arial" w:cs="Arial"/>
          <w:sz w:val="22"/>
          <w:szCs w:val="22"/>
        </w:rPr>
        <w:t xml:space="preserve">sul </w:t>
      </w:r>
      <w:r w:rsidR="006A3163" w:rsidRPr="006A3163">
        <w:rPr>
          <w:rFonts w:ascii="Arial" w:hAnsi="Arial" w:cs="Arial"/>
          <w:b/>
          <w:sz w:val="22"/>
          <w:szCs w:val="22"/>
        </w:rPr>
        <w:t>diritto del</w:t>
      </w:r>
      <w:r w:rsidR="00E20FAB">
        <w:rPr>
          <w:rFonts w:ascii="Arial" w:hAnsi="Arial" w:cs="Arial"/>
          <w:b/>
          <w:sz w:val="22"/>
          <w:szCs w:val="22"/>
        </w:rPr>
        <w:t>la</w:t>
      </w:r>
      <w:r w:rsidR="006A3163" w:rsidRPr="006A3163">
        <w:rPr>
          <w:rFonts w:ascii="Arial" w:hAnsi="Arial" w:cs="Arial"/>
          <w:b/>
          <w:sz w:val="22"/>
          <w:szCs w:val="22"/>
        </w:rPr>
        <w:t xml:space="preserve"> ricorrente all’inserimento in GAE</w:t>
      </w:r>
    </w:p>
    <w:p w14:paraId="6C7A0851" w14:textId="40F2F73F" w:rsidR="005E52EE" w:rsidRDefault="005E52EE" w:rsidP="00B02396">
      <w:pPr>
        <w:pStyle w:val="NormaleWeb"/>
        <w:spacing w:before="0" w:beforeAutospacing="0" w:after="0" w:afterAutospacing="0" w:line="360" w:lineRule="auto"/>
        <w:ind w:left="57" w:right="1418"/>
        <w:jc w:val="both"/>
        <w:rPr>
          <w:rFonts w:ascii="Arial" w:hAnsi="Arial" w:cs="Arial"/>
          <w:sz w:val="22"/>
          <w:szCs w:val="22"/>
        </w:rPr>
      </w:pPr>
      <w:r>
        <w:rPr>
          <w:rFonts w:ascii="Arial" w:hAnsi="Arial" w:cs="Arial"/>
          <w:sz w:val="22"/>
          <w:szCs w:val="22"/>
        </w:rPr>
        <w:t>Il diritto rivendicato dal</w:t>
      </w:r>
      <w:r w:rsidR="00E20FAB">
        <w:rPr>
          <w:rFonts w:ascii="Arial" w:hAnsi="Arial" w:cs="Arial"/>
          <w:sz w:val="22"/>
          <w:szCs w:val="22"/>
        </w:rPr>
        <w:t>la</w:t>
      </w:r>
      <w:r>
        <w:rPr>
          <w:rFonts w:ascii="Arial" w:hAnsi="Arial" w:cs="Arial"/>
          <w:sz w:val="22"/>
          <w:szCs w:val="22"/>
        </w:rPr>
        <w:t xml:space="preserve"> ricorrente</w:t>
      </w:r>
      <w:r w:rsidR="00B67D2D" w:rsidRPr="00B67D2D">
        <w:rPr>
          <w:rFonts w:ascii="Arial" w:hAnsi="Arial" w:cs="Arial"/>
          <w:sz w:val="22"/>
          <w:szCs w:val="22"/>
        </w:rPr>
        <w:t xml:space="preserve"> è altresì confermato dalla ratio della Fin. 2007 che infatti trasforma le GP in Graduatorie ad esaurimento solo per risolvere il fenomeno del precariato storico, in vista di una riforma del sistema di abilitazione e quindi di accesso al ruolo, che privilegiasse la formazione professionale dei docenti. </w:t>
      </w:r>
    </w:p>
    <w:p w14:paraId="400180C4" w14:textId="77777777" w:rsidR="005E52EE"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Alla pretesa chiusura delle GAE pertanto avrebbe dovuto coerentemente seguire, in ipotesi, la soppressione del canale di assunzioni costituito dalle GAE stesse al fine di realizzare, come peraltro il Miur tenta di fare, le assunzioni a tempo indeterminato solo per via concorsuale. Se dunque il Legislatore avesse abrogato il T.U. in materia scolastica nella parte in cui prevede che le assunzioni avvengono per il 50% anche attingendo dalle GAE, facendo ovviamente salvi i docenti già inseriti, avrebbe dato il via ad un nuovo sistema di acceso al P.I. </w:t>
      </w:r>
    </w:p>
    <w:p w14:paraId="43EB3158" w14:textId="77777777" w:rsidR="005E52EE"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In questo modo i docenti venuti dopo la riforma avrebbero deciso liberamente se iscriversi ai corsi abilitanti non per inserirsi nelle GAE, come è stato loro rappresentato, ma unicamente per migliorarsi professionalmente e per ottenere un punteggio più alto da spendere, eventualmente, in sede concorsuale. </w:t>
      </w:r>
    </w:p>
    <w:p w14:paraId="1D4D3F9C" w14:textId="30D0CD25" w:rsidR="00B67D2D" w:rsidRPr="00B67D2D"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Ma quanto appena descritto non si è in alcun modo verificato ed essendo il canale di assunzioni costituito dalle GAE attualmente in vigore, deve necessariamente essere accessibile a tutti i docenti che si trovano nelle stesse condizioni soggettive e di fatto di chi è stato inserito in passato solo in virtù di un fattore temporale favorevole. </w:t>
      </w:r>
    </w:p>
    <w:p w14:paraId="315A4CCE" w14:textId="77777777" w:rsidR="006A3163" w:rsidRDefault="00B67D2D" w:rsidP="00B02396">
      <w:pPr>
        <w:pStyle w:val="NormaleWeb"/>
        <w:spacing w:before="0" w:beforeAutospacing="0" w:after="0" w:afterAutospacing="0" w:line="360" w:lineRule="auto"/>
        <w:ind w:left="57" w:right="1418"/>
        <w:jc w:val="both"/>
        <w:rPr>
          <w:rFonts w:ascii="Arial" w:eastAsia="MingLiU" w:hAnsi="Arial" w:cs="Arial"/>
          <w:sz w:val="22"/>
          <w:szCs w:val="22"/>
        </w:rPr>
      </w:pPr>
      <w:r w:rsidRPr="00B67D2D">
        <w:rPr>
          <w:rFonts w:ascii="Arial" w:hAnsi="Arial" w:cs="Arial"/>
          <w:sz w:val="22"/>
          <w:szCs w:val="22"/>
        </w:rPr>
        <w:t>Al riguardo, con sentenza n. 5671/2008 il CDS ha confermato che non devono sussistere differenze tra i docenti precari sulla base del diverso periodo temporale in cui hanno raggiunto ed ottenuto l’abilitazione.</w:t>
      </w:r>
    </w:p>
    <w:p w14:paraId="051B320C" w14:textId="157BABAA" w:rsidR="005E52EE"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Se dunque, da un lato, il Miur chiede l’abilita</w:t>
      </w:r>
      <w:r w:rsidR="005E52EE">
        <w:rPr>
          <w:rFonts w:ascii="Arial" w:hAnsi="Arial" w:cs="Arial"/>
          <w:sz w:val="22"/>
          <w:szCs w:val="22"/>
        </w:rPr>
        <w:t>zione al</w:t>
      </w:r>
      <w:r w:rsidR="00E20FAB">
        <w:rPr>
          <w:rFonts w:ascii="Arial" w:hAnsi="Arial" w:cs="Arial"/>
          <w:sz w:val="22"/>
          <w:szCs w:val="22"/>
        </w:rPr>
        <w:t>la</w:t>
      </w:r>
      <w:r w:rsidR="005E52EE">
        <w:rPr>
          <w:rFonts w:ascii="Arial" w:hAnsi="Arial" w:cs="Arial"/>
          <w:sz w:val="22"/>
          <w:szCs w:val="22"/>
        </w:rPr>
        <w:t xml:space="preserve"> ricorrente</w:t>
      </w:r>
      <w:r w:rsidRPr="00B67D2D">
        <w:rPr>
          <w:rFonts w:ascii="Arial" w:hAnsi="Arial" w:cs="Arial"/>
          <w:sz w:val="22"/>
          <w:szCs w:val="22"/>
        </w:rPr>
        <w:t xml:space="preserve"> al fine di migliorare la proprie capacità professionali e poter partecipare alle assunzioni in ruolo, dal</w:t>
      </w:r>
      <w:r w:rsidR="00E20FAB">
        <w:rPr>
          <w:rFonts w:ascii="Arial" w:hAnsi="Arial" w:cs="Arial"/>
          <w:sz w:val="22"/>
          <w:szCs w:val="22"/>
        </w:rPr>
        <w:t xml:space="preserve">l’altro le deve essere consentito </w:t>
      </w:r>
      <w:r w:rsidRPr="00B67D2D">
        <w:rPr>
          <w:rFonts w:ascii="Arial" w:hAnsi="Arial" w:cs="Arial"/>
          <w:sz w:val="22"/>
          <w:szCs w:val="22"/>
        </w:rPr>
        <w:t xml:space="preserve">di poter accedere ad entrambi i canali di assunzioni previsti per legge (concorso e GAE) onde evitare la violazione degli artt. 3, 51 e 97 della Costituzione secondo cui ripetesi, possono accedere al P.I. tutti i cittadini in condizioni di eguaglianza e parità di trattamento. </w:t>
      </w:r>
    </w:p>
    <w:p w14:paraId="3F0009ED" w14:textId="607047BD" w:rsidR="005E52EE" w:rsidRDefault="00B67D2D" w:rsidP="00B02396">
      <w:pPr>
        <w:pStyle w:val="NormaleWeb"/>
        <w:spacing w:before="0" w:beforeAutospacing="0" w:after="0" w:afterAutospacing="0" w:line="360" w:lineRule="auto"/>
        <w:ind w:left="57" w:right="1418"/>
        <w:jc w:val="both"/>
        <w:rPr>
          <w:rFonts w:ascii="Arial" w:eastAsia="MingLiU" w:hAnsi="Arial" w:cs="Arial"/>
          <w:sz w:val="22"/>
          <w:szCs w:val="22"/>
        </w:rPr>
      </w:pPr>
      <w:r w:rsidRPr="00B67D2D">
        <w:rPr>
          <w:rFonts w:ascii="Arial" w:hAnsi="Arial" w:cs="Arial"/>
          <w:sz w:val="22"/>
          <w:szCs w:val="22"/>
        </w:rPr>
        <w:lastRenderedPageBreak/>
        <w:t xml:space="preserve">Nel caso che ci occupa, invece, nonostante </w:t>
      </w:r>
      <w:r w:rsidR="00E20FAB">
        <w:rPr>
          <w:rFonts w:ascii="Arial" w:hAnsi="Arial" w:cs="Arial"/>
          <w:sz w:val="22"/>
          <w:szCs w:val="22"/>
        </w:rPr>
        <w:t>la</w:t>
      </w:r>
      <w:r w:rsidR="005E52EE">
        <w:rPr>
          <w:rFonts w:ascii="Arial" w:hAnsi="Arial" w:cs="Arial"/>
          <w:sz w:val="22"/>
          <w:szCs w:val="22"/>
        </w:rPr>
        <w:t xml:space="preserve"> ricorrente sia</w:t>
      </w:r>
      <w:r w:rsidRPr="00B67D2D">
        <w:rPr>
          <w:rFonts w:ascii="Arial" w:hAnsi="Arial" w:cs="Arial"/>
          <w:sz w:val="22"/>
          <w:szCs w:val="22"/>
        </w:rPr>
        <w:t xml:space="preserve"> in possesso degli stessi requisiti che hanno consentito l’inserimento di nuovi docenti anche dopo la loro asserita chiusura, è </w:t>
      </w:r>
      <w:r w:rsidR="00E20FAB">
        <w:rPr>
          <w:rFonts w:ascii="Arial" w:hAnsi="Arial" w:cs="Arial"/>
          <w:sz w:val="22"/>
          <w:szCs w:val="22"/>
        </w:rPr>
        <w:t>a le</w:t>
      </w:r>
      <w:r w:rsidR="005E52EE">
        <w:rPr>
          <w:rFonts w:ascii="Arial" w:hAnsi="Arial" w:cs="Arial"/>
          <w:sz w:val="22"/>
          <w:szCs w:val="22"/>
        </w:rPr>
        <w:t>i</w:t>
      </w:r>
      <w:r w:rsidRPr="00B67D2D">
        <w:rPr>
          <w:rFonts w:ascii="Arial" w:hAnsi="Arial" w:cs="Arial"/>
          <w:sz w:val="22"/>
          <w:szCs w:val="22"/>
        </w:rPr>
        <w:t xml:space="preserve"> precluso ogni ingresso e quindi la possibilità di accedere al P.I. a condizioni di parità.</w:t>
      </w:r>
    </w:p>
    <w:p w14:paraId="21620845" w14:textId="4290BA22" w:rsidR="006A3163" w:rsidRPr="006A3163" w:rsidRDefault="00B67D2D" w:rsidP="00B02396">
      <w:pPr>
        <w:pStyle w:val="NormaleWeb"/>
        <w:spacing w:before="0" w:beforeAutospacing="0" w:after="0" w:afterAutospacing="0" w:line="360" w:lineRule="auto"/>
        <w:ind w:left="57" w:right="1418"/>
        <w:jc w:val="both"/>
        <w:rPr>
          <w:rFonts w:ascii="Arial" w:hAnsi="Arial" w:cs="Arial"/>
          <w:b/>
          <w:sz w:val="22"/>
          <w:szCs w:val="22"/>
        </w:rPr>
      </w:pPr>
      <w:r w:rsidRPr="00B67D2D">
        <w:rPr>
          <w:rFonts w:ascii="Arial" w:hAnsi="Arial" w:cs="Arial"/>
          <w:sz w:val="22"/>
          <w:szCs w:val="22"/>
        </w:rPr>
        <w:t>3</w:t>
      </w:r>
      <w:r w:rsidRPr="006A3163">
        <w:rPr>
          <w:rFonts w:ascii="Arial" w:hAnsi="Arial" w:cs="Arial"/>
          <w:b/>
          <w:sz w:val="22"/>
          <w:szCs w:val="22"/>
        </w:rPr>
        <w:t xml:space="preserve">) </w:t>
      </w:r>
      <w:r w:rsidR="006A3163" w:rsidRPr="006A3163">
        <w:rPr>
          <w:rFonts w:ascii="Arial" w:hAnsi="Arial" w:cs="Arial"/>
          <w:b/>
          <w:sz w:val="22"/>
          <w:szCs w:val="22"/>
        </w:rPr>
        <w:t>sull’inserimento in GAE dei docenti abilitati</w:t>
      </w:r>
    </w:p>
    <w:p w14:paraId="56254C17" w14:textId="48E40E6A" w:rsidR="005E52EE"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Anche la Legge n. 169/2008 ci consente di ritenere che la Finanziaria 2007 non abbia voluto chiudere le GAE definitivamente o che comunque tale pretesa chiusura possa ritenersi abrogata e/o superata dalla possibilità di inserirsi in GAE anche da parte dei docenti che si sono abilitati dopo la loro trasformazione. </w:t>
      </w:r>
    </w:p>
    <w:p w14:paraId="5C22FCF6" w14:textId="4C1D160A" w:rsidR="00320730" w:rsidRDefault="005E52EE" w:rsidP="00B02396">
      <w:pPr>
        <w:pStyle w:val="NormaleWeb"/>
        <w:spacing w:before="0" w:beforeAutospacing="0" w:after="0" w:afterAutospacing="0" w:line="360" w:lineRule="auto"/>
        <w:ind w:left="57" w:right="1418"/>
        <w:jc w:val="both"/>
        <w:rPr>
          <w:rFonts w:ascii="Arial" w:hAnsi="Arial" w:cs="Arial"/>
          <w:sz w:val="22"/>
          <w:szCs w:val="22"/>
        </w:rPr>
      </w:pPr>
      <w:r>
        <w:rPr>
          <w:rFonts w:ascii="Arial" w:hAnsi="Arial" w:cs="Arial"/>
          <w:sz w:val="22"/>
          <w:szCs w:val="22"/>
        </w:rPr>
        <w:t xml:space="preserve">In ogni caso </w:t>
      </w:r>
      <w:r w:rsidR="00B67D2D" w:rsidRPr="00B67D2D">
        <w:rPr>
          <w:rFonts w:ascii="Arial" w:hAnsi="Arial" w:cs="Arial"/>
          <w:sz w:val="22"/>
          <w:szCs w:val="22"/>
        </w:rPr>
        <w:t xml:space="preserve">il diritto in essa previsto </w:t>
      </w:r>
      <w:r>
        <w:rPr>
          <w:rFonts w:ascii="Arial" w:hAnsi="Arial" w:cs="Arial"/>
          <w:sz w:val="22"/>
          <w:szCs w:val="22"/>
        </w:rPr>
        <w:t>deve</w:t>
      </w:r>
      <w:r w:rsidR="00B67D2D" w:rsidRPr="00B67D2D">
        <w:rPr>
          <w:rFonts w:ascii="Arial" w:hAnsi="Arial" w:cs="Arial"/>
          <w:sz w:val="22"/>
          <w:szCs w:val="22"/>
        </w:rPr>
        <w:t xml:space="preserve"> essere applic</w:t>
      </w:r>
      <w:r w:rsidR="006A3163">
        <w:rPr>
          <w:rFonts w:ascii="Arial" w:hAnsi="Arial" w:cs="Arial"/>
          <w:sz w:val="22"/>
          <w:szCs w:val="22"/>
        </w:rPr>
        <w:t>ato in via analogica anche al</w:t>
      </w:r>
      <w:r w:rsidR="00E20FAB">
        <w:rPr>
          <w:rFonts w:ascii="Arial" w:hAnsi="Arial" w:cs="Arial"/>
          <w:sz w:val="22"/>
          <w:szCs w:val="22"/>
        </w:rPr>
        <w:t>l’odierna ricorrente in quanto, ripetesi, si trova</w:t>
      </w:r>
      <w:r w:rsidR="00B67D2D" w:rsidRPr="00B67D2D">
        <w:rPr>
          <w:rFonts w:ascii="Arial" w:hAnsi="Arial" w:cs="Arial"/>
          <w:sz w:val="22"/>
          <w:szCs w:val="22"/>
        </w:rPr>
        <w:t xml:space="preserve"> nella medesima situazione sostanziale e di fatto dei docenti cui la legge direttamente si riferiva. Appare evidente l’illegittimità </w:t>
      </w:r>
      <w:r>
        <w:rPr>
          <w:rFonts w:ascii="Arial" w:hAnsi="Arial" w:cs="Arial"/>
          <w:sz w:val="22"/>
          <w:szCs w:val="22"/>
        </w:rPr>
        <w:t>e la violazione del diritto dell’istante</w:t>
      </w:r>
      <w:r w:rsidR="00B67D2D" w:rsidRPr="00B67D2D">
        <w:rPr>
          <w:rFonts w:ascii="Arial" w:hAnsi="Arial" w:cs="Arial"/>
          <w:sz w:val="22"/>
          <w:szCs w:val="22"/>
        </w:rPr>
        <w:t xml:space="preserve"> ancor più laddove si consideri che lo stesso è negato da Decreti Ministeriali che, nella gerarchia delle fonti, occupano un rango certamente inferiore alla Costituzione</w:t>
      </w:r>
      <w:r w:rsidR="00320730">
        <w:rPr>
          <w:rFonts w:ascii="Arial" w:hAnsi="Arial" w:cs="Arial"/>
          <w:sz w:val="22"/>
          <w:szCs w:val="22"/>
        </w:rPr>
        <w:t xml:space="preserve"> e alle Leggi sopra richiamate.</w:t>
      </w:r>
    </w:p>
    <w:p w14:paraId="6F4F1C6D" w14:textId="12E34EEF" w:rsidR="00403E01" w:rsidRPr="00403E01" w:rsidRDefault="00B67D2D" w:rsidP="00B02396">
      <w:pPr>
        <w:pStyle w:val="NormaleWeb"/>
        <w:spacing w:before="0" w:beforeAutospacing="0" w:after="0" w:afterAutospacing="0" w:line="360" w:lineRule="auto"/>
        <w:ind w:left="57" w:right="1418"/>
        <w:jc w:val="both"/>
        <w:rPr>
          <w:rFonts w:ascii="Arial" w:hAnsi="Arial" w:cs="Arial"/>
          <w:b/>
          <w:sz w:val="22"/>
          <w:szCs w:val="22"/>
        </w:rPr>
      </w:pPr>
      <w:r w:rsidRPr="00B67D2D">
        <w:rPr>
          <w:rFonts w:ascii="Arial" w:hAnsi="Arial" w:cs="Arial"/>
          <w:sz w:val="22"/>
          <w:szCs w:val="22"/>
        </w:rPr>
        <w:t xml:space="preserve">4) </w:t>
      </w:r>
      <w:r w:rsidR="00403E01" w:rsidRPr="00403E01">
        <w:rPr>
          <w:rFonts w:ascii="Arial" w:hAnsi="Arial" w:cs="Arial"/>
          <w:b/>
          <w:sz w:val="22"/>
          <w:szCs w:val="22"/>
        </w:rPr>
        <w:t>sulla normativa comunitaria che conferma il diritto del</w:t>
      </w:r>
      <w:r w:rsidR="00E20FAB">
        <w:rPr>
          <w:rFonts w:ascii="Arial" w:hAnsi="Arial" w:cs="Arial"/>
          <w:b/>
          <w:sz w:val="22"/>
          <w:szCs w:val="22"/>
        </w:rPr>
        <w:t>la</w:t>
      </w:r>
      <w:r w:rsidR="00403E01" w:rsidRPr="00403E01">
        <w:rPr>
          <w:rFonts w:ascii="Arial" w:hAnsi="Arial" w:cs="Arial"/>
          <w:b/>
          <w:sz w:val="22"/>
          <w:szCs w:val="22"/>
        </w:rPr>
        <w:t xml:space="preserve"> ricorrente</w:t>
      </w:r>
    </w:p>
    <w:p w14:paraId="2286264F" w14:textId="1DB3C1DA" w:rsidR="00320730" w:rsidRDefault="00320730" w:rsidP="00B02396">
      <w:pPr>
        <w:pStyle w:val="NormaleWeb"/>
        <w:spacing w:before="0" w:beforeAutospacing="0" w:after="0" w:afterAutospacing="0" w:line="360" w:lineRule="auto"/>
        <w:ind w:left="57" w:right="1418"/>
        <w:jc w:val="both"/>
        <w:rPr>
          <w:rFonts w:ascii="Arial" w:hAnsi="Arial" w:cs="Arial"/>
          <w:sz w:val="22"/>
          <w:szCs w:val="22"/>
        </w:rPr>
      </w:pPr>
      <w:r>
        <w:rPr>
          <w:rFonts w:ascii="Arial" w:hAnsi="Arial" w:cs="Arial"/>
          <w:sz w:val="22"/>
          <w:szCs w:val="22"/>
        </w:rPr>
        <w:t>Il diritto del</w:t>
      </w:r>
      <w:r w:rsidR="00E20FAB">
        <w:rPr>
          <w:rFonts w:ascii="Arial" w:hAnsi="Arial" w:cs="Arial"/>
          <w:sz w:val="22"/>
          <w:szCs w:val="22"/>
        </w:rPr>
        <w:t>la ricorrente ad essere inserita</w:t>
      </w:r>
      <w:r w:rsidR="00B67D2D" w:rsidRPr="00B67D2D">
        <w:rPr>
          <w:rFonts w:ascii="Arial" w:hAnsi="Arial" w:cs="Arial"/>
          <w:sz w:val="22"/>
          <w:szCs w:val="22"/>
        </w:rPr>
        <w:t xml:space="preserve"> in GAE è inoltre confermato dalla normativa comunitaria. </w:t>
      </w:r>
    </w:p>
    <w:p w14:paraId="53CB9B21" w14:textId="77777777" w:rsidR="00320730"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In particolare la Direttiva Europea n. 70/99, relativa all’accordo quadro sul lavoro a tempo determinato, è stata recepita con il Dlg. n. 368/2001, il cui art. 5, comma 4-quater prevede che “Il lavoratore che, nell'esecuzione di uno o più contratti a termine presso la stessa azienda, abbia prestato attività lavorativa per un periodo superiore a sei mesi ha diritto di precedenza, (...), nelle assunzioni a tempo indeterminato effettuate dal datore di lavoro entro i successivi dodici mesi con riferimento alle mansioni già espletate in esecuzione dei rapporti a termine”. </w:t>
      </w:r>
    </w:p>
    <w:p w14:paraId="2439B498" w14:textId="55700FEE" w:rsidR="00B67D2D" w:rsidRPr="00B67D2D"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In altre parole i docenti con almeno sei mesi di servizio, pur avendo diritto di precedenza nelle assunzioni a tempo indeterminato in virtù delle richiamata disposizione, sono illegittimamente esclusi da ogni assunzione in quanto viene loro precluso l’accesso al canale di assunzioni costituito dalle Graduatorie ad esaurimento. Ciò comporta una grave violazione dei principi della Direttiva stessa, oltre che delle Legge di recepimento, secondo cui il contratto a tempo indeterminato costituisce la regola mentre quello a tempo determinato l’eccezione.</w:t>
      </w:r>
      <w:r w:rsidRPr="00B67D2D">
        <w:rPr>
          <w:rFonts w:ascii="Arial" w:eastAsia="MingLiU" w:hAnsi="Arial" w:cs="Arial"/>
          <w:sz w:val="22"/>
          <w:szCs w:val="22"/>
        </w:rPr>
        <w:br/>
      </w:r>
      <w:r w:rsidRPr="00B67D2D">
        <w:rPr>
          <w:rFonts w:ascii="Arial" w:hAnsi="Arial" w:cs="Arial"/>
          <w:sz w:val="22"/>
          <w:szCs w:val="22"/>
        </w:rPr>
        <w:t xml:space="preserve">Inoltre, secondo la Direttiva n. 36/2005, recepita con il Dlg. n. 206/2007, per poter esercitare una professione regolamentata, come quella dei docenti nella Pubblica Istruzione, occorre solo il possesso di una qualifica professionale. </w:t>
      </w:r>
    </w:p>
    <w:p w14:paraId="54D1FA91" w14:textId="77777777" w:rsidR="00B67D2D" w:rsidRPr="00B67D2D"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lastRenderedPageBreak/>
        <w:t xml:space="preserve">Il fine della Direttiva è quella di consentire l’accesso alle professioni a condizioni di uguaglianza e parità di trattamento, e la libera circolazione dei professionisti all’interno della Comunità stessa. </w:t>
      </w:r>
    </w:p>
    <w:p w14:paraId="3730F41A" w14:textId="49B85174" w:rsidR="00320730"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Ebbene, tale qualifica professionale, di cui </w:t>
      </w:r>
      <w:r w:rsidR="00320730">
        <w:rPr>
          <w:rFonts w:ascii="Arial" w:hAnsi="Arial" w:cs="Arial"/>
          <w:sz w:val="22"/>
          <w:szCs w:val="22"/>
        </w:rPr>
        <w:t>è</w:t>
      </w:r>
      <w:r w:rsidRPr="00B67D2D">
        <w:rPr>
          <w:rFonts w:ascii="Arial" w:hAnsi="Arial" w:cs="Arial"/>
          <w:sz w:val="22"/>
          <w:szCs w:val="22"/>
        </w:rPr>
        <w:t xml:space="preserve"> chiaramente in pos</w:t>
      </w:r>
      <w:r w:rsidR="00E20FAB">
        <w:rPr>
          <w:rFonts w:ascii="Arial" w:hAnsi="Arial" w:cs="Arial"/>
          <w:sz w:val="22"/>
          <w:szCs w:val="22"/>
        </w:rPr>
        <w:t>sesso la</w:t>
      </w:r>
      <w:r w:rsidR="00320730">
        <w:rPr>
          <w:rFonts w:ascii="Arial" w:hAnsi="Arial" w:cs="Arial"/>
          <w:sz w:val="22"/>
          <w:szCs w:val="22"/>
        </w:rPr>
        <w:t xml:space="preserve"> ricorrente</w:t>
      </w:r>
      <w:r w:rsidRPr="00B67D2D">
        <w:rPr>
          <w:rFonts w:ascii="Arial" w:hAnsi="Arial" w:cs="Arial"/>
          <w:sz w:val="22"/>
          <w:szCs w:val="22"/>
        </w:rPr>
        <w:t>, è unico requisito necessario e sufficiente per poter accedere alla</w:t>
      </w:r>
      <w:r w:rsidR="00320730">
        <w:rPr>
          <w:rFonts w:ascii="Arial" w:hAnsi="Arial" w:cs="Arial"/>
          <w:sz w:val="22"/>
          <w:szCs w:val="22"/>
        </w:rPr>
        <w:t xml:space="preserve"> professione e quindi alle GAE.</w:t>
      </w:r>
    </w:p>
    <w:p w14:paraId="56C1CCCB" w14:textId="29BAC76F" w:rsidR="00320730" w:rsidRDefault="00E20FAB" w:rsidP="00B02396">
      <w:pPr>
        <w:pStyle w:val="NormaleWeb"/>
        <w:spacing w:before="0" w:beforeAutospacing="0" w:after="0" w:afterAutospacing="0" w:line="360" w:lineRule="auto"/>
        <w:ind w:left="57" w:right="1418"/>
        <w:jc w:val="both"/>
        <w:rPr>
          <w:rFonts w:ascii="Arial" w:hAnsi="Arial" w:cs="Arial"/>
          <w:sz w:val="22"/>
          <w:szCs w:val="22"/>
        </w:rPr>
      </w:pPr>
      <w:r>
        <w:rPr>
          <w:rFonts w:ascii="Arial" w:hAnsi="Arial" w:cs="Arial"/>
          <w:sz w:val="22"/>
          <w:szCs w:val="22"/>
        </w:rPr>
        <w:t>L’odierna</w:t>
      </w:r>
      <w:r w:rsidR="00320730">
        <w:rPr>
          <w:rFonts w:ascii="Arial" w:hAnsi="Arial" w:cs="Arial"/>
          <w:sz w:val="22"/>
          <w:szCs w:val="22"/>
        </w:rPr>
        <w:t xml:space="preserve"> istante</w:t>
      </w:r>
      <w:r w:rsidR="00B67D2D" w:rsidRPr="00B67D2D">
        <w:rPr>
          <w:rFonts w:ascii="Arial" w:hAnsi="Arial" w:cs="Arial"/>
          <w:sz w:val="22"/>
          <w:szCs w:val="22"/>
        </w:rPr>
        <w:t xml:space="preserve"> pertanto, al pari dei docenti che dopo aver ottenuto una qualifica professionale in un Paese dell’Unione Europea so</w:t>
      </w:r>
      <w:r w:rsidR="00320730">
        <w:rPr>
          <w:rFonts w:ascii="Arial" w:hAnsi="Arial" w:cs="Arial"/>
          <w:sz w:val="22"/>
          <w:szCs w:val="22"/>
        </w:rPr>
        <w:t>no stati inseriti in GAE, deve</w:t>
      </w:r>
      <w:r w:rsidR="00B67D2D" w:rsidRPr="00B67D2D">
        <w:rPr>
          <w:rFonts w:ascii="Arial" w:hAnsi="Arial" w:cs="Arial"/>
          <w:sz w:val="22"/>
          <w:szCs w:val="22"/>
        </w:rPr>
        <w:t xml:space="preserve"> avere la stessa possibilità, in quanto in possesso di idoneo titolo </w:t>
      </w:r>
      <w:r>
        <w:rPr>
          <w:rFonts w:ascii="Arial" w:hAnsi="Arial" w:cs="Arial"/>
          <w:sz w:val="22"/>
          <w:szCs w:val="22"/>
        </w:rPr>
        <w:t>per l’insegnamento. Se infatti la medesima</w:t>
      </w:r>
      <w:r w:rsidR="00320730">
        <w:rPr>
          <w:rFonts w:ascii="Arial" w:hAnsi="Arial" w:cs="Arial"/>
          <w:sz w:val="22"/>
          <w:szCs w:val="22"/>
        </w:rPr>
        <w:t xml:space="preserve"> facesse</w:t>
      </w:r>
      <w:r w:rsidR="00B67D2D" w:rsidRPr="00B67D2D">
        <w:rPr>
          <w:rFonts w:ascii="Arial" w:hAnsi="Arial" w:cs="Arial"/>
          <w:sz w:val="22"/>
          <w:szCs w:val="22"/>
        </w:rPr>
        <w:t xml:space="preserve"> valere in un Paese dell’Unione il p</w:t>
      </w:r>
      <w:r w:rsidR="00320730">
        <w:rPr>
          <w:rFonts w:ascii="Arial" w:hAnsi="Arial" w:cs="Arial"/>
          <w:sz w:val="22"/>
          <w:szCs w:val="22"/>
        </w:rPr>
        <w:t>roprio titolo potrebbe</w:t>
      </w:r>
      <w:r w:rsidR="00B67D2D" w:rsidRPr="00B67D2D">
        <w:rPr>
          <w:rFonts w:ascii="Arial" w:hAnsi="Arial" w:cs="Arial"/>
          <w:sz w:val="22"/>
          <w:szCs w:val="22"/>
        </w:rPr>
        <w:t xml:space="preserve"> tranquillamente accedere alla professione di insegnante che invece, viene paradossalmente negata propr</w:t>
      </w:r>
      <w:r w:rsidR="00320730">
        <w:rPr>
          <w:rFonts w:ascii="Arial" w:hAnsi="Arial" w:cs="Arial"/>
          <w:sz w:val="22"/>
          <w:szCs w:val="22"/>
        </w:rPr>
        <w:t>io dallo Stato di appartenenza.</w:t>
      </w:r>
    </w:p>
    <w:p w14:paraId="6A1B8C36" w14:textId="77777777" w:rsidR="00320730"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Inoltre, l’art. 3, comma 3 della citata Direttiva, nell’assimilare a “un titolo di formazione ogni titolo di formazione rilasciato in un paese terzo se il suo possessore ha, nella professione in questione, un'esperienza professionale di tre anni sul territorio dello Stato membro”, equipara una esperienza professionale di tre anni ad un titolo formativo abilitante, anch’esso sufficiente a consentire</w:t>
      </w:r>
      <w:r w:rsidR="00320730">
        <w:rPr>
          <w:rFonts w:ascii="Arial" w:hAnsi="Arial" w:cs="Arial"/>
          <w:sz w:val="22"/>
          <w:szCs w:val="22"/>
        </w:rPr>
        <w:t xml:space="preserve"> l’accesso al ruolo da parte del ricorrente</w:t>
      </w:r>
      <w:r w:rsidRPr="00B67D2D">
        <w:rPr>
          <w:rFonts w:ascii="Arial" w:hAnsi="Arial" w:cs="Arial"/>
          <w:sz w:val="22"/>
          <w:szCs w:val="22"/>
        </w:rPr>
        <w:t xml:space="preserve">. </w:t>
      </w:r>
    </w:p>
    <w:p w14:paraId="11E6F4B3" w14:textId="7D81AAB0" w:rsidR="00320730"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Il DM impugnato invece, nel negare l’accesso al ruolo pre</w:t>
      </w:r>
      <w:r w:rsidR="00320730">
        <w:rPr>
          <w:rFonts w:ascii="Arial" w:hAnsi="Arial" w:cs="Arial"/>
          <w:sz w:val="22"/>
          <w:szCs w:val="22"/>
        </w:rPr>
        <w:t>cludendo l’inserimento in GAE al</w:t>
      </w:r>
      <w:r w:rsidR="00E20FAB">
        <w:rPr>
          <w:rFonts w:ascii="Arial" w:hAnsi="Arial" w:cs="Arial"/>
          <w:sz w:val="22"/>
          <w:szCs w:val="22"/>
        </w:rPr>
        <w:t>la</w:t>
      </w:r>
      <w:r w:rsidR="00320730">
        <w:rPr>
          <w:rFonts w:ascii="Arial" w:hAnsi="Arial" w:cs="Arial"/>
          <w:sz w:val="22"/>
          <w:szCs w:val="22"/>
        </w:rPr>
        <w:t xml:space="preserve"> ricorrente</w:t>
      </w:r>
      <w:r w:rsidRPr="00B67D2D">
        <w:rPr>
          <w:rFonts w:ascii="Arial" w:hAnsi="Arial" w:cs="Arial"/>
          <w:sz w:val="22"/>
          <w:szCs w:val="22"/>
        </w:rPr>
        <w:t xml:space="preserve"> in possesso dei tre anni di esperienza professionale contrasta ancora una volta con le norme comunitarie e con il principio di uguaglianza dei cui all’art. 3 della Costituzione, perché determina una evidente discriminazione tra docenti europei e docenti italiani in possesso dei medesimi titoli e requisiti per poter insegnare. La discriminazione è ancor più evidente ove si consideri che i docenti che hanno conseguito l’abilitazione e/o l’idoneità all’insegnamento all’Estero, magari anche a seguito di corsi di poche settimane e senza nessuna esperienza all’insegnamento, sono stati inseriti in GAE a pieno titolo con il D.M. n. 572/13 emanato il 27 giugno 2013, e potranno partecipare alle assunzioni anche con requisiti </w:t>
      </w:r>
      <w:r w:rsidR="00320730">
        <w:rPr>
          <w:rFonts w:ascii="Arial" w:hAnsi="Arial" w:cs="Arial"/>
          <w:sz w:val="22"/>
          <w:szCs w:val="22"/>
        </w:rPr>
        <w:t>inferiori a quelli posseduti dal ricorrente</w:t>
      </w:r>
      <w:r w:rsidRPr="00B67D2D">
        <w:rPr>
          <w:rFonts w:ascii="Arial" w:hAnsi="Arial" w:cs="Arial"/>
          <w:sz w:val="22"/>
          <w:szCs w:val="22"/>
        </w:rPr>
        <w:t xml:space="preserve"> che </w:t>
      </w:r>
      <w:r w:rsidR="00320730">
        <w:rPr>
          <w:rFonts w:ascii="Arial" w:hAnsi="Arial" w:cs="Arial"/>
          <w:sz w:val="22"/>
          <w:szCs w:val="22"/>
        </w:rPr>
        <w:t>è tenuto</w:t>
      </w:r>
      <w:r w:rsidRPr="00B67D2D">
        <w:rPr>
          <w:rFonts w:ascii="Arial" w:hAnsi="Arial" w:cs="Arial"/>
          <w:sz w:val="22"/>
          <w:szCs w:val="22"/>
        </w:rPr>
        <w:t xml:space="preserve"> fuori dalle GAE. </w:t>
      </w:r>
    </w:p>
    <w:p w14:paraId="0A1F372A" w14:textId="67ABA22F" w:rsidR="00320730"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Ciò che nella specie consente anche di rilevare la violazione del principio di buon andamento e imparzialità di cui all’art. 97 delle Costituzione perché in questo modo viene impedita la migliore utilizzazione di soggetti che hanno dimostrato di essere qualificati all’insegnamento più dei colleghi inseriti in GAE, e di possedere quindi i requisiti richiesti dal Miur ma dallo stesso disattesi, per insegnare (TAR Catania, ordin. n. 275/29.06.2005). Pertanto, una volta accertato che secondo le Direttive citate </w:t>
      </w:r>
      <w:r w:rsidR="00E20FAB">
        <w:rPr>
          <w:rFonts w:ascii="Arial" w:hAnsi="Arial" w:cs="Arial"/>
          <w:sz w:val="22"/>
          <w:szCs w:val="22"/>
        </w:rPr>
        <w:t>la</w:t>
      </w:r>
      <w:r w:rsidR="00320730">
        <w:rPr>
          <w:rFonts w:ascii="Arial" w:hAnsi="Arial" w:cs="Arial"/>
          <w:sz w:val="22"/>
          <w:szCs w:val="22"/>
        </w:rPr>
        <w:t xml:space="preserve"> ricorrente</w:t>
      </w:r>
      <w:r w:rsidRPr="00B67D2D">
        <w:rPr>
          <w:rFonts w:ascii="Arial" w:hAnsi="Arial" w:cs="Arial"/>
          <w:sz w:val="22"/>
          <w:szCs w:val="22"/>
        </w:rPr>
        <w:t xml:space="preserve"> </w:t>
      </w:r>
      <w:r w:rsidR="00320730">
        <w:rPr>
          <w:rFonts w:ascii="Arial" w:hAnsi="Arial" w:cs="Arial"/>
          <w:sz w:val="22"/>
          <w:szCs w:val="22"/>
        </w:rPr>
        <w:t>è</w:t>
      </w:r>
      <w:r w:rsidRPr="00B67D2D">
        <w:rPr>
          <w:rFonts w:ascii="Arial" w:hAnsi="Arial" w:cs="Arial"/>
          <w:sz w:val="22"/>
          <w:szCs w:val="22"/>
        </w:rPr>
        <w:t xml:space="preserve"> in possesso, quantomeno al pari dei docenti abilitatisi all’estero, di valida qualifica professionale o del servizio richiesto avente di </w:t>
      </w:r>
      <w:r w:rsidRPr="00B67D2D">
        <w:rPr>
          <w:rFonts w:ascii="Arial" w:hAnsi="Arial" w:cs="Arial"/>
          <w:sz w:val="22"/>
          <w:szCs w:val="22"/>
        </w:rPr>
        <w:lastRenderedPageBreak/>
        <w:t xml:space="preserve">per se valore di titolo abilitante, ne deriva che non può essere ammessa alcuna disparità di trattamento sul piano giuridico tra le due categorie. </w:t>
      </w:r>
    </w:p>
    <w:p w14:paraId="2847100E" w14:textId="77777777" w:rsidR="00403E01"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Da ciò inevitabilmente discende che i</w:t>
      </w:r>
      <w:r w:rsidR="00320730">
        <w:rPr>
          <w:rFonts w:ascii="Arial" w:hAnsi="Arial" w:cs="Arial"/>
          <w:sz w:val="22"/>
          <w:szCs w:val="22"/>
        </w:rPr>
        <w:t>l comparente</w:t>
      </w:r>
      <w:r w:rsidRPr="00B67D2D">
        <w:rPr>
          <w:rFonts w:ascii="Arial" w:hAnsi="Arial" w:cs="Arial"/>
          <w:sz w:val="22"/>
          <w:szCs w:val="22"/>
        </w:rPr>
        <w:t xml:space="preserve">, in </w:t>
      </w:r>
      <w:r w:rsidR="00320730">
        <w:rPr>
          <w:rFonts w:ascii="Arial" w:hAnsi="Arial" w:cs="Arial"/>
          <w:sz w:val="22"/>
          <w:szCs w:val="22"/>
        </w:rPr>
        <w:t>virtù della tutela che riceve</w:t>
      </w:r>
      <w:r w:rsidRPr="00B67D2D">
        <w:rPr>
          <w:rFonts w:ascii="Arial" w:hAnsi="Arial" w:cs="Arial"/>
          <w:sz w:val="22"/>
          <w:szCs w:val="22"/>
        </w:rPr>
        <w:t xml:space="preserve"> anche a livello comunit</w:t>
      </w:r>
      <w:r w:rsidR="00320730">
        <w:rPr>
          <w:rFonts w:ascii="Arial" w:hAnsi="Arial" w:cs="Arial"/>
          <w:sz w:val="22"/>
          <w:szCs w:val="22"/>
        </w:rPr>
        <w:t>ario, ha</w:t>
      </w:r>
      <w:r w:rsidRPr="00B67D2D">
        <w:rPr>
          <w:rFonts w:ascii="Arial" w:hAnsi="Arial" w:cs="Arial"/>
          <w:sz w:val="22"/>
          <w:szCs w:val="22"/>
        </w:rPr>
        <w:t xml:space="preserve"> piena</w:t>
      </w:r>
      <w:r w:rsidR="00320730">
        <w:rPr>
          <w:rFonts w:ascii="Arial" w:hAnsi="Arial" w:cs="Arial"/>
          <w:sz w:val="22"/>
          <w:szCs w:val="22"/>
        </w:rPr>
        <w:t>mente diritto di essere inserito</w:t>
      </w:r>
      <w:r w:rsidRPr="00B67D2D">
        <w:rPr>
          <w:rFonts w:ascii="Arial" w:hAnsi="Arial" w:cs="Arial"/>
          <w:sz w:val="22"/>
          <w:szCs w:val="22"/>
        </w:rPr>
        <w:t xml:space="preserve"> nelle GAE al fine di poter partecipare, ex artt. 3, 51, 97 Costituzione, alle assunzioni nel P.I. a condizioni di eguaglianza. </w:t>
      </w:r>
    </w:p>
    <w:p w14:paraId="2DD27385" w14:textId="025E3926" w:rsidR="00403E01" w:rsidRDefault="00403E01" w:rsidP="00B02396">
      <w:pPr>
        <w:pStyle w:val="NormaleWeb"/>
        <w:spacing w:before="0" w:beforeAutospacing="0" w:after="0" w:afterAutospacing="0" w:line="360" w:lineRule="auto"/>
        <w:ind w:left="57" w:right="1418"/>
        <w:jc w:val="both"/>
        <w:rPr>
          <w:rFonts w:ascii="Arial" w:hAnsi="Arial" w:cs="Arial"/>
          <w:sz w:val="22"/>
          <w:szCs w:val="22"/>
        </w:rPr>
      </w:pPr>
      <w:r>
        <w:rPr>
          <w:rFonts w:ascii="Arial" w:hAnsi="Arial" w:cs="Arial"/>
          <w:sz w:val="22"/>
          <w:szCs w:val="22"/>
        </w:rPr>
        <w:t xml:space="preserve">5) </w:t>
      </w:r>
      <w:r>
        <w:rPr>
          <w:rFonts w:ascii="Arial" w:hAnsi="Arial" w:cs="Arial"/>
          <w:b/>
          <w:sz w:val="22"/>
          <w:szCs w:val="22"/>
        </w:rPr>
        <w:t>s</w:t>
      </w:r>
      <w:r w:rsidRPr="00403E01">
        <w:rPr>
          <w:rFonts w:ascii="Arial" w:hAnsi="Arial" w:cs="Arial"/>
          <w:b/>
          <w:sz w:val="22"/>
          <w:szCs w:val="22"/>
        </w:rPr>
        <w:t>ulla Giurisprudenza che riconosce il diritto di inserimento in GAE al</w:t>
      </w:r>
      <w:r w:rsidR="0063037D">
        <w:rPr>
          <w:rFonts w:ascii="Arial" w:hAnsi="Arial" w:cs="Arial"/>
          <w:b/>
          <w:sz w:val="22"/>
          <w:szCs w:val="22"/>
        </w:rPr>
        <w:t>la</w:t>
      </w:r>
      <w:r w:rsidRPr="00403E01">
        <w:rPr>
          <w:rFonts w:ascii="Arial" w:hAnsi="Arial" w:cs="Arial"/>
          <w:b/>
          <w:sz w:val="22"/>
          <w:szCs w:val="22"/>
        </w:rPr>
        <w:t xml:space="preserve"> ricorrente</w:t>
      </w:r>
      <w:r>
        <w:rPr>
          <w:rFonts w:ascii="Arial" w:hAnsi="Arial" w:cs="Arial"/>
          <w:b/>
          <w:sz w:val="22"/>
          <w:szCs w:val="22"/>
        </w:rPr>
        <w:t>:</w:t>
      </w:r>
    </w:p>
    <w:p w14:paraId="26B0F764" w14:textId="73C31362" w:rsidR="00320730"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Anche la recente giurisprudenza ha ric</w:t>
      </w:r>
      <w:r w:rsidR="00320730">
        <w:rPr>
          <w:rFonts w:ascii="Arial" w:hAnsi="Arial" w:cs="Arial"/>
          <w:sz w:val="22"/>
          <w:szCs w:val="22"/>
        </w:rPr>
        <w:t>onosciuto il diritto vantato dal</w:t>
      </w:r>
      <w:r w:rsidR="0063037D">
        <w:rPr>
          <w:rFonts w:ascii="Arial" w:hAnsi="Arial" w:cs="Arial"/>
          <w:sz w:val="22"/>
          <w:szCs w:val="22"/>
        </w:rPr>
        <w:t>la</w:t>
      </w:r>
      <w:r w:rsidRPr="00B67D2D">
        <w:rPr>
          <w:rFonts w:ascii="Arial" w:hAnsi="Arial" w:cs="Arial"/>
          <w:sz w:val="22"/>
          <w:szCs w:val="22"/>
        </w:rPr>
        <w:t xml:space="preserve"> ricorren</w:t>
      </w:r>
      <w:r w:rsidR="00320730">
        <w:rPr>
          <w:rFonts w:ascii="Arial" w:hAnsi="Arial" w:cs="Arial"/>
          <w:sz w:val="22"/>
          <w:szCs w:val="22"/>
        </w:rPr>
        <w:t>te</w:t>
      </w:r>
      <w:r w:rsidRPr="00B67D2D">
        <w:rPr>
          <w:rFonts w:ascii="Arial" w:hAnsi="Arial" w:cs="Arial"/>
          <w:sz w:val="22"/>
          <w:szCs w:val="22"/>
        </w:rPr>
        <w:t xml:space="preserve">. </w:t>
      </w:r>
    </w:p>
    <w:p w14:paraId="11B5B77F" w14:textId="662FB111" w:rsidR="00B67D2D"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In particolare si richiama l’ordinanza del CDS n. 5878/2014 che riconosce ai docenti abilitati all'insegnamento nella Scuola di istruzione secondario di primo e secondo grado, che hanno conseguito il titolo con il TFA I° ciclo, il diritto ad essere inseriti nelle GAE. Dello stesso tenore è la recente Ordinanza cautelare n. 2530 del 10.06.2015, nonché i Decreti Monocratici n. 3421, 3423, 3424, 3426 con i quali il CDS ha disposto l'inserimento con riserva nelle GAE di alcuni docenti abilitati PAS e TFA, sulla motivazione che, avendo superato le prove d'esame dei PAS, di cui al DM 58/2013, hanno conseguito il titolo abilitante per una specifica classe di abilitazione in base al titolo di studio da ciascuno posseduto. Questa Ordinanza sancisce, in maniera inequivoca, il diritto dei Docenti abilitati PAS/TFA all'inserimento nella III fascia delle GAE. Si segnala in senso favorevole anche l’Ordinanza del Tribunale di Brindisi del 26.01.2015 che ha equiparato gli abilitati TFA ai vecchi SSIS, stabilendo anche per i primi il diritto all'inserimento nella III fascia delle GAE nonché la sentenza del Tribunale di Terni n. 2273 del 08.07.2015, con la quale è stato disposto l'inserimento a pieno titolo nelle GAE dei docenti abilitati con i PAS (docc. nn. 109-112). </w:t>
      </w:r>
    </w:p>
    <w:p w14:paraId="4869F16D" w14:textId="77777777" w:rsidR="00320730" w:rsidRDefault="00320730" w:rsidP="00B02396">
      <w:pPr>
        <w:widowControl w:val="0"/>
        <w:autoSpaceDE w:val="0"/>
        <w:autoSpaceDN w:val="0"/>
        <w:adjustRightInd w:val="0"/>
        <w:spacing w:line="360" w:lineRule="auto"/>
        <w:ind w:left="57" w:right="1418"/>
        <w:jc w:val="both"/>
        <w:rPr>
          <w:rFonts w:ascii="Arial" w:eastAsia="Calibri" w:hAnsi="Arial" w:cs="Arial"/>
          <w:sz w:val="22"/>
          <w:szCs w:val="22"/>
        </w:rPr>
      </w:pPr>
      <w:r w:rsidRPr="0056268B">
        <w:rPr>
          <w:rFonts w:ascii="Arial" w:eastAsia="Calibri" w:hAnsi="Arial" w:cs="Arial"/>
          <w:sz w:val="22"/>
          <w:szCs w:val="22"/>
        </w:rPr>
        <w:t xml:space="preserve">Quanto finora detto è stato </w:t>
      </w:r>
      <w:r>
        <w:rPr>
          <w:rFonts w:ascii="Arial" w:eastAsia="Calibri" w:hAnsi="Arial" w:cs="Arial"/>
          <w:sz w:val="22"/>
          <w:szCs w:val="22"/>
        </w:rPr>
        <w:t xml:space="preserve">altresì </w:t>
      </w:r>
      <w:r w:rsidRPr="0056268B">
        <w:rPr>
          <w:rFonts w:ascii="Arial" w:eastAsia="Calibri" w:hAnsi="Arial" w:cs="Arial"/>
          <w:sz w:val="22"/>
          <w:szCs w:val="22"/>
        </w:rPr>
        <w:t xml:space="preserve">riconosciuto </w:t>
      </w:r>
      <w:r>
        <w:rPr>
          <w:rFonts w:ascii="Arial" w:eastAsia="Calibri" w:hAnsi="Arial" w:cs="Arial"/>
          <w:sz w:val="22"/>
          <w:szCs w:val="22"/>
        </w:rPr>
        <w:t>da</w:t>
      </w:r>
      <w:r w:rsidRPr="0056268B">
        <w:rPr>
          <w:rFonts w:ascii="Arial" w:eastAsia="Calibri" w:hAnsi="Arial" w:cs="Arial"/>
          <w:sz w:val="22"/>
          <w:szCs w:val="22"/>
        </w:rPr>
        <w:t xml:space="preserve">l Consiglio di Stato </w:t>
      </w:r>
      <w:r>
        <w:rPr>
          <w:rFonts w:ascii="Arial" w:eastAsia="Calibri" w:hAnsi="Arial" w:cs="Arial"/>
          <w:sz w:val="22"/>
          <w:szCs w:val="22"/>
        </w:rPr>
        <w:t xml:space="preserve">con ordinanza </w:t>
      </w:r>
      <w:r w:rsidRPr="0056268B">
        <w:rPr>
          <w:rFonts w:ascii="Arial" w:eastAsia="Calibri" w:hAnsi="Arial" w:cs="Arial"/>
          <w:sz w:val="22"/>
          <w:szCs w:val="22"/>
        </w:rPr>
        <w:t xml:space="preserve">n. </w:t>
      </w:r>
      <w:r>
        <w:rPr>
          <w:rFonts w:ascii="Arial" w:eastAsia="Calibri" w:hAnsi="Arial" w:cs="Arial"/>
          <w:sz w:val="22"/>
          <w:szCs w:val="22"/>
        </w:rPr>
        <w:t xml:space="preserve">05659/2015 </w:t>
      </w:r>
      <w:r w:rsidRPr="0056268B">
        <w:rPr>
          <w:rFonts w:ascii="Arial" w:eastAsia="Calibri" w:hAnsi="Arial" w:cs="Arial"/>
          <w:sz w:val="22"/>
          <w:szCs w:val="22"/>
        </w:rPr>
        <w:t xml:space="preserve">del </w:t>
      </w:r>
      <w:r>
        <w:rPr>
          <w:rFonts w:ascii="Arial" w:eastAsia="Calibri" w:hAnsi="Arial" w:cs="Arial"/>
          <w:sz w:val="22"/>
          <w:szCs w:val="22"/>
        </w:rPr>
        <w:t>18.12.2015</w:t>
      </w:r>
      <w:r w:rsidRPr="0056268B">
        <w:rPr>
          <w:rFonts w:ascii="Arial" w:eastAsia="Calibri" w:hAnsi="Arial" w:cs="Arial"/>
          <w:sz w:val="22"/>
          <w:szCs w:val="22"/>
        </w:rPr>
        <w:t xml:space="preserve"> che </w:t>
      </w:r>
      <w:r>
        <w:rPr>
          <w:rFonts w:ascii="Arial" w:eastAsia="Calibri" w:hAnsi="Arial" w:cs="Arial"/>
          <w:sz w:val="22"/>
          <w:szCs w:val="22"/>
        </w:rPr>
        <w:t>ha consentito l’ammissione di docenti abilitati PAS all’inserimento in GAE (all. n. 4).</w:t>
      </w:r>
    </w:p>
    <w:p w14:paraId="7AB40BB9" w14:textId="2971802E" w:rsidR="00320730" w:rsidRPr="00320730" w:rsidRDefault="001A795F" w:rsidP="00B02396">
      <w:pPr>
        <w:widowControl w:val="0"/>
        <w:autoSpaceDE w:val="0"/>
        <w:autoSpaceDN w:val="0"/>
        <w:adjustRightInd w:val="0"/>
        <w:spacing w:line="360" w:lineRule="auto"/>
        <w:ind w:left="57" w:right="1418"/>
        <w:jc w:val="both"/>
        <w:rPr>
          <w:rFonts w:ascii="Arial" w:eastAsia="Calibri" w:hAnsi="Arial" w:cs="Arial"/>
          <w:sz w:val="22"/>
          <w:szCs w:val="22"/>
        </w:rPr>
      </w:pPr>
      <w:r>
        <w:rPr>
          <w:rFonts w:ascii="Arial" w:hAnsi="Arial" w:cs="Arial"/>
          <w:color w:val="000000"/>
          <w:sz w:val="21"/>
          <w:szCs w:val="21"/>
        </w:rPr>
        <w:t xml:space="preserve">Anche il </w:t>
      </w:r>
      <w:r w:rsidR="00320730">
        <w:rPr>
          <w:rFonts w:ascii="Arial" w:hAnsi="Arial" w:cs="Arial"/>
          <w:color w:val="000000"/>
          <w:sz w:val="21"/>
          <w:szCs w:val="21"/>
        </w:rPr>
        <w:t>Tribunale di Pordenone –</w:t>
      </w:r>
      <w:r>
        <w:rPr>
          <w:rFonts w:ascii="Arial" w:hAnsi="Arial" w:cs="Arial"/>
          <w:color w:val="000000"/>
          <w:sz w:val="21"/>
          <w:szCs w:val="21"/>
        </w:rPr>
        <w:t xml:space="preserve"> sez</w:t>
      </w:r>
      <w:r w:rsidR="00320730">
        <w:rPr>
          <w:rFonts w:ascii="Arial" w:hAnsi="Arial" w:cs="Arial"/>
          <w:color w:val="000000"/>
          <w:sz w:val="21"/>
          <w:szCs w:val="21"/>
        </w:rPr>
        <w:t>. Lavoro</w:t>
      </w:r>
      <w:r>
        <w:rPr>
          <w:rFonts w:ascii="Arial" w:hAnsi="Arial" w:cs="Arial"/>
          <w:color w:val="000000"/>
          <w:sz w:val="21"/>
          <w:szCs w:val="21"/>
        </w:rPr>
        <w:t>,</w:t>
      </w:r>
      <w:r w:rsidR="00320730">
        <w:rPr>
          <w:rFonts w:ascii="Arial" w:hAnsi="Arial" w:cs="Arial"/>
          <w:color w:val="000000"/>
          <w:sz w:val="21"/>
          <w:szCs w:val="21"/>
        </w:rPr>
        <w:t xml:space="preserve"> con </w:t>
      </w:r>
      <w:r w:rsidR="00403E01">
        <w:rPr>
          <w:rFonts w:ascii="Arial" w:hAnsi="Arial" w:cs="Arial"/>
          <w:color w:val="000000"/>
          <w:sz w:val="21"/>
          <w:szCs w:val="21"/>
        </w:rPr>
        <w:t>ordinanze</w:t>
      </w:r>
      <w:r w:rsidR="00320730">
        <w:rPr>
          <w:rFonts w:ascii="Arial" w:hAnsi="Arial" w:cs="Arial"/>
          <w:color w:val="000000"/>
          <w:sz w:val="21"/>
          <w:szCs w:val="21"/>
        </w:rPr>
        <w:t xml:space="preserve"> n</w:t>
      </w:r>
      <w:r w:rsidR="00403E01">
        <w:rPr>
          <w:rFonts w:ascii="Arial" w:hAnsi="Arial" w:cs="Arial"/>
          <w:color w:val="000000"/>
          <w:sz w:val="21"/>
          <w:szCs w:val="21"/>
        </w:rPr>
        <w:t>n</w:t>
      </w:r>
      <w:r w:rsidR="00320730">
        <w:rPr>
          <w:rFonts w:ascii="Arial" w:hAnsi="Arial" w:cs="Arial"/>
          <w:color w:val="000000"/>
          <w:sz w:val="21"/>
          <w:szCs w:val="21"/>
        </w:rPr>
        <w:t xml:space="preserve">. 579 </w:t>
      </w:r>
      <w:r w:rsidR="00403E01">
        <w:rPr>
          <w:rFonts w:ascii="Arial" w:hAnsi="Arial" w:cs="Arial"/>
          <w:color w:val="000000"/>
          <w:sz w:val="21"/>
          <w:szCs w:val="21"/>
        </w:rPr>
        <w:t xml:space="preserve">e 581 </w:t>
      </w:r>
      <w:r w:rsidR="00320730">
        <w:rPr>
          <w:rFonts w:ascii="Arial" w:hAnsi="Arial" w:cs="Arial"/>
          <w:color w:val="000000"/>
          <w:sz w:val="21"/>
          <w:szCs w:val="21"/>
        </w:rPr>
        <w:t xml:space="preserve">del 19.10.2015, </w:t>
      </w:r>
      <w:r>
        <w:rPr>
          <w:rFonts w:ascii="Arial" w:hAnsi="Arial" w:cs="Arial"/>
          <w:color w:val="000000"/>
          <w:sz w:val="21"/>
          <w:szCs w:val="21"/>
        </w:rPr>
        <w:t xml:space="preserve">(all. n. 5), ha confermato che </w:t>
      </w:r>
      <w:r w:rsidR="00320730">
        <w:rPr>
          <w:rFonts w:ascii="Arial" w:hAnsi="Arial" w:cs="Arial"/>
          <w:color w:val="000000"/>
          <w:sz w:val="21"/>
          <w:szCs w:val="21"/>
        </w:rPr>
        <w:t xml:space="preserve">è </w:t>
      </w:r>
      <w:r w:rsidR="00320730" w:rsidRPr="003D3A91">
        <w:rPr>
          <w:rFonts w:ascii="Arial" w:hAnsi="Arial" w:cs="Arial"/>
          <w:color w:val="000000"/>
          <w:sz w:val="21"/>
          <w:szCs w:val="21"/>
        </w:rPr>
        <w:t>illegitt</w:t>
      </w:r>
      <w:r w:rsidR="00320730">
        <w:rPr>
          <w:rFonts w:ascii="Arial" w:hAnsi="Arial" w:cs="Arial"/>
          <w:color w:val="000000"/>
          <w:sz w:val="21"/>
          <w:szCs w:val="21"/>
        </w:rPr>
        <w:t xml:space="preserve">imo il D.M. 58/13 </w:t>
      </w:r>
      <w:r>
        <w:rPr>
          <w:rFonts w:ascii="Arial" w:hAnsi="Arial" w:cs="Arial"/>
          <w:color w:val="000000"/>
          <w:sz w:val="21"/>
          <w:szCs w:val="21"/>
        </w:rPr>
        <w:t>in quanto</w:t>
      </w:r>
      <w:r w:rsidR="00320730">
        <w:rPr>
          <w:rFonts w:ascii="Arial" w:hAnsi="Arial" w:cs="Arial"/>
          <w:color w:val="000000"/>
          <w:sz w:val="21"/>
          <w:szCs w:val="21"/>
        </w:rPr>
        <w:t xml:space="preserve"> non consente</w:t>
      </w:r>
      <w:r w:rsidR="00320730" w:rsidRPr="003D3A91">
        <w:rPr>
          <w:rFonts w:ascii="Arial" w:hAnsi="Arial" w:cs="Arial"/>
          <w:color w:val="000000"/>
          <w:sz w:val="21"/>
          <w:szCs w:val="21"/>
        </w:rPr>
        <w:t xml:space="preserve"> l'immissione nelle Gae agli abilitati con </w:t>
      </w:r>
      <w:r w:rsidR="00320730">
        <w:rPr>
          <w:rFonts w:ascii="Arial" w:hAnsi="Arial" w:cs="Arial"/>
          <w:color w:val="000000"/>
          <w:sz w:val="21"/>
          <w:szCs w:val="21"/>
        </w:rPr>
        <w:t>Pas per due ragioni principali:</w:t>
      </w:r>
    </w:p>
    <w:p w14:paraId="6832B1BD" w14:textId="77777777" w:rsidR="00320730" w:rsidRDefault="00320730" w:rsidP="00B02396">
      <w:pPr>
        <w:pStyle w:val="Paragrafoelenco"/>
        <w:widowControl w:val="0"/>
        <w:numPr>
          <w:ilvl w:val="0"/>
          <w:numId w:val="1"/>
        </w:numPr>
        <w:autoSpaceDE w:val="0"/>
        <w:autoSpaceDN w:val="0"/>
        <w:adjustRightInd w:val="0"/>
        <w:spacing w:line="360" w:lineRule="auto"/>
        <w:ind w:left="57" w:right="1418"/>
        <w:jc w:val="both"/>
        <w:rPr>
          <w:rFonts w:ascii="Arial" w:hAnsi="Arial" w:cs="Arial"/>
          <w:color w:val="000000"/>
          <w:sz w:val="21"/>
          <w:szCs w:val="21"/>
        </w:rPr>
      </w:pPr>
      <w:r w:rsidRPr="007C63BC">
        <w:rPr>
          <w:rFonts w:ascii="Arial" w:hAnsi="Arial" w:cs="Arial"/>
          <w:color w:val="000000"/>
          <w:sz w:val="21"/>
          <w:szCs w:val="21"/>
        </w:rPr>
        <w:t xml:space="preserve"> La prima di esse è costituita dal fatto che esistono diverse norme di rango primario che hanno consentito l'ingresso nelle Gae. Al riguardo si citano </w:t>
      </w:r>
      <w:r w:rsidRPr="007C63BC">
        <w:rPr>
          <w:rFonts w:ascii="Arial" w:hAnsi="Arial" w:cs="Arial"/>
          <w:sz w:val="22"/>
          <w:szCs w:val="22"/>
        </w:rPr>
        <w:t>l’art. 2 comma 1, 2 e 4 L. 124/99, art. 1 comma 6 bis L. 306/200 e art. 1 comma 1 ter L. n. 143/04</w:t>
      </w:r>
      <w:r w:rsidRPr="007C63BC">
        <w:rPr>
          <w:rFonts w:ascii="Arial" w:hAnsi="Arial" w:cs="Arial"/>
          <w:color w:val="000000"/>
          <w:sz w:val="21"/>
          <w:szCs w:val="21"/>
        </w:rPr>
        <w:t xml:space="preserve">. </w:t>
      </w:r>
    </w:p>
    <w:p w14:paraId="0A9B3AC5" w14:textId="68489CB8" w:rsidR="001A795F" w:rsidRDefault="00320730" w:rsidP="00B02396">
      <w:pPr>
        <w:pStyle w:val="Paragrafoelenco"/>
        <w:widowControl w:val="0"/>
        <w:numPr>
          <w:ilvl w:val="0"/>
          <w:numId w:val="1"/>
        </w:numPr>
        <w:autoSpaceDE w:val="0"/>
        <w:autoSpaceDN w:val="0"/>
        <w:adjustRightInd w:val="0"/>
        <w:spacing w:line="360" w:lineRule="auto"/>
        <w:ind w:left="57" w:right="1418"/>
        <w:jc w:val="both"/>
        <w:rPr>
          <w:rFonts w:ascii="Arial" w:hAnsi="Arial" w:cs="Arial"/>
          <w:color w:val="000000"/>
          <w:sz w:val="21"/>
          <w:szCs w:val="21"/>
        </w:rPr>
      </w:pPr>
      <w:r w:rsidRPr="007C63BC">
        <w:rPr>
          <w:rFonts w:ascii="Arial" w:hAnsi="Arial" w:cs="Arial"/>
          <w:color w:val="000000"/>
          <w:sz w:val="21"/>
          <w:szCs w:val="21"/>
        </w:rPr>
        <w:t xml:space="preserve">La seconda riguarda la riapertura delle Gae in due casi distinti che hanno visto coinvolti gli abilitati COBASLID, gli educatori musicali e i laureati in Scienza della Formazione Primaria. In definitiva </w:t>
      </w:r>
      <w:r>
        <w:rPr>
          <w:rFonts w:ascii="Arial" w:hAnsi="Arial" w:cs="Arial"/>
          <w:color w:val="000000"/>
          <w:sz w:val="21"/>
          <w:szCs w:val="21"/>
        </w:rPr>
        <w:t xml:space="preserve">i </w:t>
      </w:r>
      <w:r w:rsidRPr="007C63BC">
        <w:rPr>
          <w:rFonts w:ascii="Arial" w:hAnsi="Arial" w:cs="Arial"/>
          <w:color w:val="000000"/>
          <w:sz w:val="21"/>
          <w:szCs w:val="21"/>
        </w:rPr>
        <w:t xml:space="preserve">Pas posseggono identico valore concorsuale rispetto alle SISS. Si tratta di discriminazioni inaccettabili ed anche di una infondata violazione dell'art.3 della Costituzione per </w:t>
      </w:r>
      <w:r w:rsidR="0063037D">
        <w:rPr>
          <w:rFonts w:ascii="Arial" w:hAnsi="Arial" w:cs="Arial"/>
          <w:color w:val="000000"/>
          <w:sz w:val="21"/>
          <w:szCs w:val="21"/>
        </w:rPr>
        <w:t>cui</w:t>
      </w:r>
      <w:r w:rsidRPr="007C63BC">
        <w:rPr>
          <w:rFonts w:ascii="Arial" w:hAnsi="Arial" w:cs="Arial"/>
          <w:color w:val="000000"/>
          <w:sz w:val="21"/>
          <w:szCs w:val="21"/>
        </w:rPr>
        <w:t xml:space="preserve"> il </w:t>
      </w:r>
      <w:r>
        <w:rPr>
          <w:rFonts w:ascii="Arial" w:hAnsi="Arial" w:cs="Arial"/>
          <w:color w:val="000000"/>
          <w:sz w:val="21"/>
          <w:szCs w:val="21"/>
        </w:rPr>
        <w:t>suddetto Tribunale ha</w:t>
      </w:r>
      <w:r w:rsidRPr="007C63BC">
        <w:rPr>
          <w:rFonts w:ascii="Arial" w:hAnsi="Arial" w:cs="Arial"/>
          <w:color w:val="000000"/>
          <w:sz w:val="21"/>
          <w:szCs w:val="21"/>
        </w:rPr>
        <w:t xml:space="preserve"> ordina</w:t>
      </w:r>
      <w:r>
        <w:rPr>
          <w:rFonts w:ascii="Arial" w:hAnsi="Arial" w:cs="Arial"/>
          <w:color w:val="000000"/>
          <w:sz w:val="21"/>
          <w:szCs w:val="21"/>
        </w:rPr>
        <w:t>to</w:t>
      </w:r>
      <w:r w:rsidRPr="007C63BC">
        <w:rPr>
          <w:rFonts w:ascii="Arial" w:hAnsi="Arial" w:cs="Arial"/>
          <w:color w:val="000000"/>
          <w:sz w:val="21"/>
          <w:szCs w:val="21"/>
        </w:rPr>
        <w:t xml:space="preserve"> al Miur di inserire </w:t>
      </w:r>
      <w:r w:rsidR="0063037D">
        <w:rPr>
          <w:rFonts w:ascii="Arial" w:hAnsi="Arial" w:cs="Arial"/>
          <w:color w:val="000000"/>
          <w:sz w:val="21"/>
          <w:szCs w:val="21"/>
        </w:rPr>
        <w:t>gli</w:t>
      </w:r>
      <w:r w:rsidRPr="007C63BC">
        <w:rPr>
          <w:rFonts w:ascii="Arial" w:hAnsi="Arial" w:cs="Arial"/>
          <w:color w:val="000000"/>
          <w:sz w:val="21"/>
          <w:szCs w:val="21"/>
        </w:rPr>
        <w:t xml:space="preserve"> abilitati </w:t>
      </w:r>
      <w:r w:rsidR="0063037D">
        <w:rPr>
          <w:rFonts w:ascii="Arial" w:hAnsi="Arial" w:cs="Arial"/>
          <w:color w:val="000000"/>
          <w:sz w:val="21"/>
          <w:szCs w:val="21"/>
        </w:rPr>
        <w:t xml:space="preserve">PAS </w:t>
      </w:r>
      <w:r w:rsidRPr="007C63BC">
        <w:rPr>
          <w:rFonts w:ascii="Arial" w:hAnsi="Arial" w:cs="Arial"/>
          <w:color w:val="000000"/>
          <w:sz w:val="21"/>
          <w:szCs w:val="21"/>
        </w:rPr>
        <w:t xml:space="preserve">in Gae consentendo loro di partecipare al </w:t>
      </w:r>
      <w:r w:rsidRPr="007C63BC">
        <w:rPr>
          <w:rFonts w:ascii="Arial" w:hAnsi="Arial" w:cs="Arial"/>
          <w:color w:val="000000"/>
          <w:sz w:val="21"/>
          <w:szCs w:val="21"/>
        </w:rPr>
        <w:lastRenderedPageBreak/>
        <w:t>piano di assunzioni</w:t>
      </w:r>
      <w:r>
        <w:rPr>
          <w:rFonts w:ascii="Arial" w:hAnsi="Arial" w:cs="Arial"/>
          <w:color w:val="000000"/>
          <w:sz w:val="21"/>
          <w:szCs w:val="21"/>
        </w:rPr>
        <w:t xml:space="preserve">. </w:t>
      </w:r>
      <w:r w:rsidRPr="006355BD">
        <w:rPr>
          <w:rFonts w:ascii="Arial" w:hAnsi="Arial" w:cs="Arial"/>
          <w:color w:val="000000"/>
          <w:sz w:val="21"/>
          <w:szCs w:val="21"/>
        </w:rPr>
        <w:t>Le sentenze relative alla discussione di un ricorso d'urgenza ex art.700, discusso lo scorso 19 ottobre 2015 dal Tribunale del Lavoro di Pordenone, riportano i numeri 579 e 581 del R.G.</w:t>
      </w:r>
      <w:r>
        <w:rPr>
          <w:rFonts w:ascii="Arial" w:hAnsi="Arial" w:cs="Arial"/>
          <w:color w:val="000000"/>
          <w:sz w:val="21"/>
          <w:szCs w:val="21"/>
        </w:rPr>
        <w:t xml:space="preserve"> (all. n. 4).</w:t>
      </w:r>
    </w:p>
    <w:p w14:paraId="6B0D0BD0" w14:textId="1613460E" w:rsidR="009E7DD8" w:rsidRPr="00403E01" w:rsidRDefault="00403E01" w:rsidP="00B02396">
      <w:pPr>
        <w:pStyle w:val="Paragrafoelenco"/>
        <w:numPr>
          <w:ilvl w:val="0"/>
          <w:numId w:val="22"/>
        </w:numPr>
        <w:autoSpaceDE w:val="0"/>
        <w:autoSpaceDN w:val="0"/>
        <w:adjustRightInd w:val="0"/>
        <w:spacing w:line="360" w:lineRule="auto"/>
        <w:ind w:left="57" w:right="1418"/>
        <w:jc w:val="both"/>
        <w:rPr>
          <w:rFonts w:ascii="Arial" w:eastAsia="Calibri" w:hAnsi="Arial" w:cs="Arial"/>
          <w:sz w:val="22"/>
          <w:szCs w:val="22"/>
          <w:lang w:eastAsia="en-US"/>
        </w:rPr>
      </w:pPr>
      <w:r>
        <w:rPr>
          <w:rFonts w:ascii="Arial" w:eastAsia="Calibri" w:hAnsi="Arial" w:cs="Arial"/>
          <w:b/>
          <w:sz w:val="22"/>
          <w:szCs w:val="22"/>
          <w:lang w:eastAsia="en-US"/>
        </w:rPr>
        <w:t>Sul valore abilitante del PAS riconosciuto dal MIUR</w:t>
      </w:r>
    </w:p>
    <w:p w14:paraId="043FFC68" w14:textId="56F37A69" w:rsidR="00403E01" w:rsidRDefault="009E7DD8" w:rsidP="00B02396">
      <w:pPr>
        <w:widowControl w:val="0"/>
        <w:autoSpaceDE w:val="0"/>
        <w:autoSpaceDN w:val="0"/>
        <w:adjustRightInd w:val="0"/>
        <w:spacing w:after="240" w:line="360" w:lineRule="auto"/>
        <w:ind w:left="57" w:right="1418"/>
        <w:jc w:val="both"/>
        <w:rPr>
          <w:rFonts w:ascii="Arial" w:eastAsia="Calibri" w:hAnsi="Arial" w:cs="Arial"/>
          <w:sz w:val="22"/>
          <w:szCs w:val="22"/>
        </w:rPr>
      </w:pPr>
      <w:r w:rsidRPr="00403E01">
        <w:rPr>
          <w:rFonts w:ascii="Arial" w:eastAsia="Calibri" w:hAnsi="Arial" w:cs="Arial"/>
          <w:sz w:val="22"/>
          <w:szCs w:val="22"/>
          <w:lang w:eastAsia="en-US"/>
        </w:rPr>
        <w:t xml:space="preserve">Proprio </w:t>
      </w:r>
      <w:r w:rsidRPr="00403E01">
        <w:rPr>
          <w:rFonts w:ascii="Arial" w:eastAsia="Calibri" w:hAnsi="Arial" w:cs="Arial"/>
          <w:sz w:val="22"/>
          <w:szCs w:val="22"/>
          <w:u w:val="single"/>
          <w:lang w:eastAsia="en-US"/>
        </w:rPr>
        <w:t>il Miur sul suo sito internet (URP del MIUR)</w:t>
      </w:r>
      <w:r w:rsidR="0063037D">
        <w:rPr>
          <w:rFonts w:ascii="Arial" w:eastAsia="Calibri" w:hAnsi="Arial" w:cs="Arial"/>
          <w:sz w:val="22"/>
          <w:szCs w:val="22"/>
          <w:u w:val="single"/>
          <w:lang w:eastAsia="en-US"/>
        </w:rPr>
        <w:t xml:space="preserve"> dichiara che</w:t>
      </w:r>
      <w:r w:rsidRPr="00403E01">
        <w:rPr>
          <w:rFonts w:ascii="Arial" w:eastAsia="Calibri" w:hAnsi="Arial" w:cs="Arial"/>
          <w:sz w:val="22"/>
          <w:szCs w:val="22"/>
          <w:u w:val="single"/>
          <w:lang w:eastAsia="en-US"/>
        </w:rPr>
        <w:t xml:space="preserve"> i PAS “percorsi di formazione per conseguire l’abilitazione all’insegnamento” (DM 23 marzo 2013) </w:t>
      </w:r>
      <w:r w:rsidR="0063037D">
        <w:rPr>
          <w:rFonts w:ascii="Arial" w:eastAsia="Calibri" w:hAnsi="Arial" w:cs="Arial"/>
          <w:sz w:val="22"/>
          <w:szCs w:val="22"/>
          <w:u w:val="single"/>
          <w:lang w:eastAsia="en-US"/>
        </w:rPr>
        <w:t>sono</w:t>
      </w:r>
      <w:r w:rsidRPr="00403E01">
        <w:rPr>
          <w:rFonts w:ascii="Arial" w:eastAsia="Calibri" w:hAnsi="Arial" w:cs="Arial"/>
          <w:sz w:val="22"/>
          <w:szCs w:val="22"/>
          <w:u w:val="single"/>
          <w:lang w:eastAsia="en-US"/>
        </w:rPr>
        <w:t xml:space="preserve"> titolo abilitante all’insegnamento</w:t>
      </w:r>
      <w:r w:rsidRPr="00403E01">
        <w:rPr>
          <w:rFonts w:ascii="Arial" w:eastAsia="Calibri" w:hAnsi="Arial" w:cs="Arial"/>
          <w:sz w:val="22"/>
          <w:szCs w:val="22"/>
          <w:lang w:eastAsia="en-US"/>
        </w:rPr>
        <w:t xml:space="preserve"> (all. n. 6 – URP del Miur).</w:t>
      </w:r>
    </w:p>
    <w:p w14:paraId="034D2FB9" w14:textId="2785E75F" w:rsidR="00B67D2D" w:rsidRPr="00403E01" w:rsidRDefault="00403E01" w:rsidP="00B02396">
      <w:pPr>
        <w:widowControl w:val="0"/>
        <w:autoSpaceDE w:val="0"/>
        <w:autoSpaceDN w:val="0"/>
        <w:adjustRightInd w:val="0"/>
        <w:spacing w:after="240" w:line="360" w:lineRule="auto"/>
        <w:ind w:left="57" w:right="1418"/>
        <w:jc w:val="both"/>
        <w:rPr>
          <w:rFonts w:ascii="Arial" w:eastAsia="Calibri" w:hAnsi="Arial" w:cs="Arial"/>
          <w:sz w:val="22"/>
          <w:szCs w:val="22"/>
        </w:rPr>
      </w:pPr>
      <w:r>
        <w:rPr>
          <w:rFonts w:ascii="Arial" w:hAnsi="Arial" w:cs="Arial"/>
          <w:b/>
          <w:sz w:val="22"/>
          <w:szCs w:val="22"/>
        </w:rPr>
        <w:t>C)</w:t>
      </w:r>
      <w:r w:rsidR="00B67D2D" w:rsidRPr="00403E01">
        <w:rPr>
          <w:rFonts w:ascii="Arial" w:hAnsi="Arial" w:cs="Arial"/>
          <w:b/>
          <w:sz w:val="22"/>
          <w:szCs w:val="22"/>
        </w:rPr>
        <w:t xml:space="preserve"> SUI DANNI SUBITI PER L’ILLEGITTIMO COMPORTAMENTO DEL MIUR </w:t>
      </w:r>
    </w:p>
    <w:p w14:paraId="078B8107" w14:textId="31BE0B5F" w:rsidR="001A795F"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Il comportament</w:t>
      </w:r>
      <w:r w:rsidR="001A795F">
        <w:rPr>
          <w:rFonts w:ascii="Arial" w:hAnsi="Arial" w:cs="Arial"/>
          <w:sz w:val="22"/>
          <w:szCs w:val="22"/>
        </w:rPr>
        <w:t>o del MIUR che, dunque, vieta a</w:t>
      </w:r>
      <w:r w:rsidR="0063037D">
        <w:rPr>
          <w:rFonts w:ascii="Arial" w:hAnsi="Arial" w:cs="Arial"/>
          <w:sz w:val="22"/>
          <w:szCs w:val="22"/>
        </w:rPr>
        <w:t>l</w:t>
      </w:r>
      <w:r w:rsidR="001A795F">
        <w:rPr>
          <w:rFonts w:ascii="Arial" w:hAnsi="Arial" w:cs="Arial"/>
          <w:sz w:val="22"/>
          <w:szCs w:val="22"/>
        </w:rPr>
        <w:t>l</w:t>
      </w:r>
      <w:r w:rsidR="0063037D">
        <w:rPr>
          <w:rFonts w:ascii="Arial" w:hAnsi="Arial" w:cs="Arial"/>
          <w:sz w:val="22"/>
          <w:szCs w:val="22"/>
        </w:rPr>
        <w:t>a</w:t>
      </w:r>
      <w:r w:rsidR="001A795F">
        <w:rPr>
          <w:rFonts w:ascii="Arial" w:hAnsi="Arial" w:cs="Arial"/>
          <w:sz w:val="22"/>
          <w:szCs w:val="22"/>
        </w:rPr>
        <w:t xml:space="preserve"> comparente</w:t>
      </w:r>
      <w:r w:rsidRPr="00B67D2D">
        <w:rPr>
          <w:rFonts w:ascii="Arial" w:hAnsi="Arial" w:cs="Arial"/>
          <w:sz w:val="22"/>
          <w:szCs w:val="22"/>
        </w:rPr>
        <w:t xml:space="preserve"> la possibilità di accedere al ruolo negando di fatto la possibilità di entrare nell’unico canale di assunzioni a tempo indeterminat</w:t>
      </w:r>
      <w:r w:rsidR="001A795F">
        <w:rPr>
          <w:rFonts w:ascii="Arial" w:hAnsi="Arial" w:cs="Arial"/>
          <w:sz w:val="22"/>
          <w:szCs w:val="22"/>
        </w:rPr>
        <w:t>o realmente attivo, determina allo</w:t>
      </w:r>
      <w:r w:rsidRPr="00B67D2D">
        <w:rPr>
          <w:rFonts w:ascii="Arial" w:hAnsi="Arial" w:cs="Arial"/>
          <w:sz w:val="22"/>
          <w:szCs w:val="22"/>
        </w:rPr>
        <w:t xml:space="preserve"> </w:t>
      </w:r>
      <w:r w:rsidR="001A795F">
        <w:rPr>
          <w:rFonts w:ascii="Arial" w:hAnsi="Arial" w:cs="Arial"/>
          <w:sz w:val="22"/>
          <w:szCs w:val="22"/>
        </w:rPr>
        <w:t>stesso</w:t>
      </w:r>
      <w:r w:rsidRPr="00B67D2D">
        <w:rPr>
          <w:rFonts w:ascii="Arial" w:hAnsi="Arial" w:cs="Arial"/>
          <w:sz w:val="22"/>
          <w:szCs w:val="22"/>
        </w:rPr>
        <w:t xml:space="preserve"> gravi danni sia di natura patrimoniale sia non patrimoniale. </w:t>
      </w:r>
    </w:p>
    <w:p w14:paraId="180EC406" w14:textId="6F704263" w:rsidR="001A795F"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In effetti, l’ingresso </w:t>
      </w:r>
      <w:r w:rsidR="001A795F">
        <w:rPr>
          <w:rFonts w:ascii="Arial" w:hAnsi="Arial" w:cs="Arial"/>
          <w:sz w:val="22"/>
          <w:szCs w:val="22"/>
        </w:rPr>
        <w:t>nelle GAE, consentirebbe al</w:t>
      </w:r>
      <w:r w:rsidR="0063037D">
        <w:rPr>
          <w:rFonts w:ascii="Arial" w:hAnsi="Arial" w:cs="Arial"/>
          <w:sz w:val="22"/>
          <w:szCs w:val="22"/>
        </w:rPr>
        <w:t>la comparente di essere assunta</w:t>
      </w:r>
      <w:r w:rsidRPr="00B67D2D">
        <w:rPr>
          <w:rFonts w:ascii="Arial" w:hAnsi="Arial" w:cs="Arial"/>
          <w:sz w:val="22"/>
          <w:szCs w:val="22"/>
        </w:rPr>
        <w:t xml:space="preserve"> a tempo indeterminato posto che il piano di assunzioni di 150.000 unità di cui alla Legge n. 107/2015 già avviato verrà pro</w:t>
      </w:r>
      <w:r w:rsidR="001A795F">
        <w:rPr>
          <w:rFonts w:ascii="Arial" w:hAnsi="Arial" w:cs="Arial"/>
          <w:sz w:val="22"/>
          <w:szCs w:val="22"/>
        </w:rPr>
        <w:t>seguito anche il prossimo anno.</w:t>
      </w:r>
    </w:p>
    <w:p w14:paraId="503E8180" w14:textId="77777777" w:rsidR="001A795F"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Le immissioni in ruolo infatti avvengono ogni qualvolta il titolare di una cattedra o posto va in pensione o viene meno e si rende necessaria la sua sostituzione con un docente inserito in GAE. </w:t>
      </w:r>
    </w:p>
    <w:p w14:paraId="3A415D7A" w14:textId="79920D8F" w:rsidR="001A795F"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w:t>
      </w:r>
      <w:r w:rsidRPr="00B67D2D">
        <w:rPr>
          <w:rFonts w:ascii="Arial" w:hAnsi="Arial" w:cs="Arial"/>
          <w:sz w:val="22"/>
          <w:szCs w:val="22"/>
        </w:rPr>
        <w:br/>
        <w:t>Alla luc</w:t>
      </w:r>
      <w:r w:rsidR="0063037D">
        <w:rPr>
          <w:rFonts w:ascii="Arial" w:hAnsi="Arial" w:cs="Arial"/>
          <w:sz w:val="22"/>
          <w:szCs w:val="22"/>
        </w:rPr>
        <w:t>e delle considerazioni</w:t>
      </w:r>
      <w:r w:rsidRPr="00B67D2D">
        <w:rPr>
          <w:rFonts w:ascii="Arial" w:hAnsi="Arial" w:cs="Arial"/>
          <w:sz w:val="22"/>
          <w:szCs w:val="22"/>
        </w:rPr>
        <w:t xml:space="preserve"> </w:t>
      </w:r>
      <w:r w:rsidR="0063037D">
        <w:rPr>
          <w:rFonts w:ascii="Arial" w:hAnsi="Arial" w:cs="Arial"/>
          <w:sz w:val="22"/>
          <w:szCs w:val="22"/>
        </w:rPr>
        <w:t>effettuate è evidente</w:t>
      </w:r>
      <w:r w:rsidR="001A795F">
        <w:rPr>
          <w:rFonts w:ascii="Arial" w:hAnsi="Arial" w:cs="Arial"/>
          <w:sz w:val="22"/>
          <w:szCs w:val="22"/>
        </w:rPr>
        <w:t xml:space="preserve"> la sussistenza del diritto del</w:t>
      </w:r>
      <w:r w:rsidR="0063037D">
        <w:rPr>
          <w:rFonts w:ascii="Arial" w:hAnsi="Arial" w:cs="Arial"/>
          <w:sz w:val="22"/>
          <w:szCs w:val="22"/>
        </w:rPr>
        <w:t>la</w:t>
      </w:r>
      <w:r w:rsidRPr="00B67D2D">
        <w:rPr>
          <w:rFonts w:ascii="Arial" w:hAnsi="Arial" w:cs="Arial"/>
          <w:sz w:val="22"/>
          <w:szCs w:val="22"/>
        </w:rPr>
        <w:t xml:space="preserve"> ricor</w:t>
      </w:r>
      <w:r w:rsidR="001A795F">
        <w:rPr>
          <w:rFonts w:ascii="Arial" w:hAnsi="Arial" w:cs="Arial"/>
          <w:sz w:val="22"/>
          <w:szCs w:val="22"/>
        </w:rPr>
        <w:t>rente</w:t>
      </w:r>
      <w:r w:rsidRPr="00B67D2D">
        <w:rPr>
          <w:rFonts w:ascii="Arial" w:hAnsi="Arial" w:cs="Arial"/>
          <w:sz w:val="22"/>
          <w:szCs w:val="22"/>
        </w:rPr>
        <w:t xml:space="preserve"> ad accedere in GAE e partec</w:t>
      </w:r>
      <w:r w:rsidR="001A795F">
        <w:rPr>
          <w:rFonts w:ascii="Arial" w:hAnsi="Arial" w:cs="Arial"/>
          <w:sz w:val="22"/>
          <w:szCs w:val="22"/>
        </w:rPr>
        <w:t>ipare alle assunzioni in ruolo.</w:t>
      </w:r>
    </w:p>
    <w:p w14:paraId="731F1EE8" w14:textId="77777777" w:rsidR="0063037D"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E’ infatti acclarato che</w:t>
      </w:r>
      <w:r w:rsidR="001A795F">
        <w:rPr>
          <w:rFonts w:ascii="Arial" w:hAnsi="Arial" w:cs="Arial"/>
          <w:sz w:val="22"/>
          <w:szCs w:val="22"/>
        </w:rPr>
        <w:t>:</w:t>
      </w:r>
      <w:r w:rsidRPr="00B67D2D">
        <w:rPr>
          <w:rFonts w:ascii="Arial" w:hAnsi="Arial" w:cs="Arial"/>
          <w:sz w:val="22"/>
          <w:szCs w:val="22"/>
        </w:rPr>
        <w:t xml:space="preserve"> </w:t>
      </w:r>
    </w:p>
    <w:p w14:paraId="43EB5947" w14:textId="0BF1A325" w:rsidR="001A795F"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1) La Costituzione e la normativa europea garantiscono e tutelano il diritto di accesso al P.I. a tutti i cittadini a condizioni di eguaglianza; </w:t>
      </w:r>
    </w:p>
    <w:p w14:paraId="6D1AC71B" w14:textId="77777777" w:rsidR="001A795F"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2) La Fin. 2007 ha consentito ai docenti che frequentavano il corso abilitante di inserirsi nelle GAE; </w:t>
      </w:r>
    </w:p>
    <w:p w14:paraId="5B7453D3" w14:textId="77777777" w:rsidR="001A795F"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3) La Legge 169/2008 ha consentito ai docenti abilitati di inserirsi anche dopo la loro pretesa chiusura; </w:t>
      </w:r>
    </w:p>
    <w:p w14:paraId="19917A34" w14:textId="09034AD3" w:rsidR="001A795F" w:rsidRDefault="001A795F" w:rsidP="00B02396">
      <w:pPr>
        <w:pStyle w:val="NormaleWeb"/>
        <w:spacing w:before="0" w:beforeAutospacing="0" w:after="0" w:afterAutospacing="0" w:line="360" w:lineRule="auto"/>
        <w:ind w:left="57" w:right="1418"/>
        <w:jc w:val="both"/>
        <w:rPr>
          <w:rFonts w:ascii="Arial" w:hAnsi="Arial" w:cs="Arial"/>
          <w:sz w:val="22"/>
          <w:szCs w:val="22"/>
        </w:rPr>
      </w:pPr>
      <w:r>
        <w:rPr>
          <w:rFonts w:ascii="Arial" w:hAnsi="Arial" w:cs="Arial"/>
          <w:sz w:val="22"/>
          <w:szCs w:val="22"/>
        </w:rPr>
        <w:t xml:space="preserve">4) </w:t>
      </w:r>
      <w:r w:rsidR="0063037D">
        <w:rPr>
          <w:rFonts w:ascii="Arial" w:hAnsi="Arial" w:cs="Arial"/>
          <w:sz w:val="22"/>
          <w:szCs w:val="22"/>
        </w:rPr>
        <w:t>la</w:t>
      </w:r>
      <w:r>
        <w:rPr>
          <w:rFonts w:ascii="Arial" w:hAnsi="Arial" w:cs="Arial"/>
          <w:sz w:val="22"/>
          <w:szCs w:val="22"/>
        </w:rPr>
        <w:t xml:space="preserve"> </w:t>
      </w:r>
      <w:r w:rsidR="009E7DD8">
        <w:rPr>
          <w:rFonts w:ascii="Arial" w:hAnsi="Arial" w:cs="Arial"/>
          <w:sz w:val="22"/>
          <w:szCs w:val="22"/>
        </w:rPr>
        <w:t>ricorrente</w:t>
      </w:r>
      <w:r>
        <w:rPr>
          <w:rFonts w:ascii="Arial" w:hAnsi="Arial" w:cs="Arial"/>
          <w:sz w:val="22"/>
          <w:szCs w:val="22"/>
        </w:rPr>
        <w:t xml:space="preserve"> si trova</w:t>
      </w:r>
      <w:r w:rsidR="00B67D2D" w:rsidRPr="00B67D2D">
        <w:rPr>
          <w:rFonts w:ascii="Arial" w:hAnsi="Arial" w:cs="Arial"/>
          <w:sz w:val="22"/>
          <w:szCs w:val="22"/>
        </w:rPr>
        <w:t xml:space="preserve"> nelle stesse condizioni sostanziali e di fatto dei docenti anche comunitari che per contro sono stati inseriti e che</w:t>
      </w:r>
      <w:r>
        <w:rPr>
          <w:rFonts w:ascii="Arial" w:hAnsi="Arial" w:cs="Arial"/>
          <w:sz w:val="22"/>
          <w:szCs w:val="22"/>
        </w:rPr>
        <w:t xml:space="preserve"> oggi vengono assunti in ruolo.</w:t>
      </w:r>
    </w:p>
    <w:p w14:paraId="0E9DE5EA" w14:textId="2B3AFDB6" w:rsidR="009B3B30" w:rsidRDefault="0063037D" w:rsidP="00B02396">
      <w:pPr>
        <w:pStyle w:val="NormaleWeb"/>
        <w:spacing w:before="0" w:beforeAutospacing="0" w:after="0" w:afterAutospacing="0" w:line="360" w:lineRule="auto"/>
        <w:ind w:left="57" w:right="1418"/>
        <w:jc w:val="both"/>
        <w:rPr>
          <w:rFonts w:ascii="Arial" w:hAnsi="Arial" w:cs="Arial"/>
          <w:sz w:val="22"/>
          <w:szCs w:val="22"/>
        </w:rPr>
      </w:pPr>
      <w:r>
        <w:rPr>
          <w:rFonts w:ascii="Arial" w:hAnsi="Arial" w:cs="Arial"/>
          <w:sz w:val="22"/>
          <w:szCs w:val="22"/>
        </w:rPr>
        <w:t>La</w:t>
      </w:r>
      <w:r w:rsidR="001A795F">
        <w:rPr>
          <w:rFonts w:ascii="Arial" w:hAnsi="Arial" w:cs="Arial"/>
          <w:sz w:val="22"/>
          <w:szCs w:val="22"/>
        </w:rPr>
        <w:t xml:space="preserve"> ricorrente ha</w:t>
      </w:r>
      <w:r w:rsidR="00B67D2D" w:rsidRPr="00B67D2D">
        <w:rPr>
          <w:rFonts w:ascii="Arial" w:hAnsi="Arial" w:cs="Arial"/>
          <w:sz w:val="22"/>
          <w:szCs w:val="22"/>
        </w:rPr>
        <w:t xml:space="preserve"> pertanto diritto di </w:t>
      </w:r>
      <w:r>
        <w:rPr>
          <w:rFonts w:ascii="Arial" w:hAnsi="Arial" w:cs="Arial"/>
          <w:sz w:val="22"/>
          <w:szCs w:val="22"/>
        </w:rPr>
        <w:t>essere inserita in particolare nella</w:t>
      </w:r>
      <w:r w:rsidR="00B67D2D" w:rsidRPr="00B67D2D">
        <w:rPr>
          <w:rFonts w:ascii="Arial" w:hAnsi="Arial" w:cs="Arial"/>
          <w:sz w:val="22"/>
          <w:szCs w:val="22"/>
        </w:rPr>
        <w:t xml:space="preserve"> TERZA fascia delle GAE riservata ai docenti che hanno, come </w:t>
      </w:r>
      <w:r>
        <w:rPr>
          <w:rFonts w:ascii="Arial" w:hAnsi="Arial" w:cs="Arial"/>
          <w:sz w:val="22"/>
          <w:szCs w:val="22"/>
        </w:rPr>
        <w:t>l’odierna</w:t>
      </w:r>
      <w:r w:rsidR="001A795F">
        <w:rPr>
          <w:rFonts w:ascii="Arial" w:hAnsi="Arial" w:cs="Arial"/>
          <w:sz w:val="22"/>
          <w:szCs w:val="22"/>
        </w:rPr>
        <w:t xml:space="preserve"> ricorrente</w:t>
      </w:r>
      <w:r w:rsidR="00B67D2D" w:rsidRPr="00B67D2D">
        <w:rPr>
          <w:rFonts w:ascii="Arial" w:hAnsi="Arial" w:cs="Arial"/>
          <w:sz w:val="22"/>
          <w:szCs w:val="22"/>
        </w:rPr>
        <w:t xml:space="preserve">, l’abilitazione all’insegnamento. In tal senso </w:t>
      </w:r>
      <w:r w:rsidR="001A4E71" w:rsidRPr="00B67D2D">
        <w:rPr>
          <w:rFonts w:ascii="Arial" w:hAnsi="Arial" w:cs="Arial"/>
          <w:sz w:val="22"/>
          <w:szCs w:val="22"/>
        </w:rPr>
        <w:t>l’ordinanza del CDS n. 5878/2014</w:t>
      </w:r>
      <w:r w:rsidR="001A4E71">
        <w:rPr>
          <w:rFonts w:ascii="Arial" w:hAnsi="Arial" w:cs="Arial"/>
          <w:sz w:val="22"/>
          <w:szCs w:val="22"/>
        </w:rPr>
        <w:t>,</w:t>
      </w:r>
      <w:r w:rsidR="001A4E71" w:rsidRPr="00B67D2D">
        <w:rPr>
          <w:rFonts w:ascii="Arial" w:hAnsi="Arial" w:cs="Arial"/>
          <w:sz w:val="22"/>
          <w:szCs w:val="22"/>
        </w:rPr>
        <w:t xml:space="preserve"> </w:t>
      </w:r>
      <w:r w:rsidR="001A4E71">
        <w:rPr>
          <w:rFonts w:ascii="Arial" w:hAnsi="Arial" w:cs="Arial"/>
          <w:sz w:val="22"/>
          <w:szCs w:val="22"/>
        </w:rPr>
        <w:t xml:space="preserve">il </w:t>
      </w:r>
      <w:r w:rsidR="001A4E71">
        <w:rPr>
          <w:rFonts w:ascii="Arial" w:hAnsi="Arial" w:cs="Arial"/>
          <w:color w:val="000000"/>
          <w:sz w:val="21"/>
          <w:szCs w:val="21"/>
        </w:rPr>
        <w:t xml:space="preserve">Tribunale di Pordenone – sez. Lavoro, </w:t>
      </w:r>
      <w:r>
        <w:rPr>
          <w:rFonts w:ascii="Arial" w:hAnsi="Arial" w:cs="Arial"/>
          <w:color w:val="000000"/>
          <w:sz w:val="21"/>
          <w:szCs w:val="21"/>
        </w:rPr>
        <w:t>or</w:t>
      </w:r>
      <w:r w:rsidR="00403E01">
        <w:rPr>
          <w:rFonts w:ascii="Arial" w:hAnsi="Arial" w:cs="Arial"/>
          <w:color w:val="000000"/>
          <w:sz w:val="21"/>
          <w:szCs w:val="21"/>
        </w:rPr>
        <w:t>d</w:t>
      </w:r>
      <w:r>
        <w:rPr>
          <w:rFonts w:ascii="Arial" w:hAnsi="Arial" w:cs="Arial"/>
          <w:color w:val="000000"/>
          <w:sz w:val="21"/>
          <w:szCs w:val="21"/>
        </w:rPr>
        <w:t>i</w:t>
      </w:r>
      <w:r w:rsidR="00403E01">
        <w:rPr>
          <w:rFonts w:ascii="Arial" w:hAnsi="Arial" w:cs="Arial"/>
          <w:color w:val="000000"/>
          <w:sz w:val="21"/>
          <w:szCs w:val="21"/>
        </w:rPr>
        <w:t>nanze</w:t>
      </w:r>
      <w:r w:rsidR="001A4E71">
        <w:rPr>
          <w:rFonts w:ascii="Arial" w:hAnsi="Arial" w:cs="Arial"/>
          <w:color w:val="000000"/>
          <w:sz w:val="21"/>
          <w:szCs w:val="21"/>
        </w:rPr>
        <w:t xml:space="preserve"> </w:t>
      </w:r>
      <w:r w:rsidR="001A4E71">
        <w:rPr>
          <w:rFonts w:ascii="Arial" w:hAnsi="Arial" w:cs="Arial"/>
          <w:color w:val="000000"/>
          <w:sz w:val="21"/>
          <w:szCs w:val="21"/>
        </w:rPr>
        <w:lastRenderedPageBreak/>
        <w:t>n</w:t>
      </w:r>
      <w:r w:rsidR="00403E01">
        <w:rPr>
          <w:rFonts w:ascii="Arial" w:hAnsi="Arial" w:cs="Arial"/>
          <w:color w:val="000000"/>
          <w:sz w:val="21"/>
          <w:szCs w:val="21"/>
        </w:rPr>
        <w:t>n</w:t>
      </w:r>
      <w:r w:rsidR="001A4E71">
        <w:rPr>
          <w:rFonts w:ascii="Arial" w:hAnsi="Arial" w:cs="Arial"/>
          <w:color w:val="000000"/>
          <w:sz w:val="21"/>
          <w:szCs w:val="21"/>
        </w:rPr>
        <w:t xml:space="preserve">. 579 </w:t>
      </w:r>
      <w:r w:rsidR="00403E01">
        <w:rPr>
          <w:rFonts w:ascii="Arial" w:hAnsi="Arial" w:cs="Arial"/>
          <w:color w:val="000000"/>
          <w:sz w:val="21"/>
          <w:szCs w:val="21"/>
        </w:rPr>
        <w:t xml:space="preserve">e 581 </w:t>
      </w:r>
      <w:r w:rsidR="001A4E71">
        <w:rPr>
          <w:rFonts w:ascii="Arial" w:hAnsi="Arial" w:cs="Arial"/>
          <w:color w:val="000000"/>
          <w:sz w:val="21"/>
          <w:szCs w:val="21"/>
        </w:rPr>
        <w:t xml:space="preserve">del 19.10.2015 e il </w:t>
      </w:r>
      <w:r w:rsidR="00B67D2D" w:rsidRPr="00B67D2D">
        <w:rPr>
          <w:rFonts w:ascii="Arial" w:hAnsi="Arial" w:cs="Arial"/>
          <w:sz w:val="22"/>
          <w:szCs w:val="22"/>
        </w:rPr>
        <w:t>Tribunale di Terni sentenza n. 2273/8.7.2015, ha</w:t>
      </w:r>
      <w:r w:rsidR="001A4E71">
        <w:rPr>
          <w:rFonts w:ascii="Arial" w:hAnsi="Arial" w:cs="Arial"/>
          <w:sz w:val="22"/>
          <w:szCs w:val="22"/>
        </w:rPr>
        <w:t>nno</w:t>
      </w:r>
      <w:r w:rsidR="00B67D2D" w:rsidRPr="00B67D2D">
        <w:rPr>
          <w:rFonts w:ascii="Arial" w:hAnsi="Arial" w:cs="Arial"/>
          <w:sz w:val="22"/>
          <w:szCs w:val="22"/>
        </w:rPr>
        <w:t xml:space="preserve"> disposto l’inserimento a pieno titolo in GAE d</w:t>
      </w:r>
      <w:r w:rsidR="001A795F">
        <w:rPr>
          <w:rFonts w:ascii="Arial" w:hAnsi="Arial" w:cs="Arial"/>
          <w:sz w:val="22"/>
          <w:szCs w:val="22"/>
        </w:rPr>
        <w:t xml:space="preserve">ei docenti abilitati con i PAS. </w:t>
      </w:r>
      <w:r w:rsidR="00B67D2D" w:rsidRPr="00B67D2D">
        <w:rPr>
          <w:rFonts w:ascii="Arial" w:hAnsi="Arial" w:cs="Arial"/>
          <w:sz w:val="22"/>
          <w:szCs w:val="22"/>
        </w:rPr>
        <w:t>In caso contrario, appare evidente che oltre al danno rappresentato dalla mancata possibilità di accedere al ruolo e quindi alla stabilità della propria vita che può derivare solo da un posto di lavor</w:t>
      </w:r>
      <w:r w:rsidR="00373F45">
        <w:rPr>
          <w:rFonts w:ascii="Arial" w:hAnsi="Arial" w:cs="Arial"/>
          <w:sz w:val="22"/>
          <w:szCs w:val="22"/>
        </w:rPr>
        <w:t>o a tempo indeterminato di cui la</w:t>
      </w:r>
      <w:r w:rsidR="001A4E71">
        <w:rPr>
          <w:rFonts w:ascii="Arial" w:hAnsi="Arial" w:cs="Arial"/>
          <w:sz w:val="22"/>
          <w:szCs w:val="22"/>
        </w:rPr>
        <w:t xml:space="preserve"> ricorrente</w:t>
      </w:r>
      <w:r w:rsidR="00373F45">
        <w:rPr>
          <w:rFonts w:ascii="Arial" w:hAnsi="Arial" w:cs="Arial"/>
          <w:sz w:val="22"/>
          <w:szCs w:val="22"/>
        </w:rPr>
        <w:t xml:space="preserve"> ha</w:t>
      </w:r>
      <w:r w:rsidR="00B67D2D" w:rsidRPr="00B67D2D">
        <w:rPr>
          <w:rFonts w:ascii="Arial" w:hAnsi="Arial" w:cs="Arial"/>
          <w:sz w:val="22"/>
          <w:szCs w:val="22"/>
        </w:rPr>
        <w:t xml:space="preserve"> diritto, si aggiungerebbe anche la beffa rappresentata dai costi e sacrifici personali che </w:t>
      </w:r>
      <w:r w:rsidR="00373F45">
        <w:rPr>
          <w:rFonts w:ascii="Arial" w:hAnsi="Arial" w:cs="Arial"/>
          <w:sz w:val="22"/>
          <w:szCs w:val="22"/>
        </w:rPr>
        <w:t>la medesima</w:t>
      </w:r>
      <w:r w:rsidR="001A4E71">
        <w:rPr>
          <w:rFonts w:ascii="Arial" w:hAnsi="Arial" w:cs="Arial"/>
          <w:sz w:val="22"/>
          <w:szCs w:val="22"/>
        </w:rPr>
        <w:t xml:space="preserve"> ha</w:t>
      </w:r>
      <w:r w:rsidR="00B67D2D" w:rsidRPr="00B67D2D">
        <w:rPr>
          <w:rFonts w:ascii="Arial" w:hAnsi="Arial" w:cs="Arial"/>
          <w:sz w:val="22"/>
          <w:szCs w:val="22"/>
        </w:rPr>
        <w:t xml:space="preserve"> dovuto sostenere per ottenere una abilitazione richiesta dal Miur per p</w:t>
      </w:r>
      <w:r w:rsidR="00373F45">
        <w:rPr>
          <w:rFonts w:ascii="Arial" w:hAnsi="Arial" w:cs="Arial"/>
          <w:sz w:val="22"/>
          <w:szCs w:val="22"/>
        </w:rPr>
        <w:t xml:space="preserve">oter essere inseriti in GAE e </w:t>
      </w:r>
      <w:r w:rsidR="00B67D2D" w:rsidRPr="00B67D2D">
        <w:rPr>
          <w:rFonts w:ascii="Arial" w:hAnsi="Arial" w:cs="Arial"/>
          <w:sz w:val="22"/>
          <w:szCs w:val="22"/>
        </w:rPr>
        <w:t xml:space="preserve">poi dallo stesso non riconosciuta valida a tale effetto. </w:t>
      </w:r>
    </w:p>
    <w:p w14:paraId="2AFE2A73" w14:textId="77777777" w:rsidR="00403E01" w:rsidRDefault="00403E01" w:rsidP="00B02396">
      <w:pPr>
        <w:pStyle w:val="NormaleWeb"/>
        <w:spacing w:before="0" w:beforeAutospacing="0" w:after="0" w:afterAutospacing="0" w:line="360" w:lineRule="auto"/>
        <w:ind w:left="57" w:right="1418"/>
        <w:jc w:val="both"/>
        <w:rPr>
          <w:rFonts w:ascii="Arial" w:hAnsi="Arial" w:cs="Arial"/>
          <w:sz w:val="22"/>
          <w:szCs w:val="22"/>
        </w:rPr>
      </w:pPr>
    </w:p>
    <w:p w14:paraId="4229900D" w14:textId="7AA08AE9" w:rsidR="009B3B30" w:rsidRPr="009B3B30" w:rsidRDefault="009B3B30" w:rsidP="00B02396">
      <w:pPr>
        <w:pStyle w:val="Paragrafoelenco"/>
        <w:widowControl w:val="0"/>
        <w:numPr>
          <w:ilvl w:val="0"/>
          <w:numId w:val="20"/>
        </w:numPr>
        <w:autoSpaceDE w:val="0"/>
        <w:autoSpaceDN w:val="0"/>
        <w:adjustRightInd w:val="0"/>
        <w:spacing w:after="240" w:line="360" w:lineRule="auto"/>
        <w:ind w:left="57" w:right="1418"/>
        <w:jc w:val="both"/>
        <w:rPr>
          <w:rFonts w:ascii="Arial" w:eastAsia="Calibri" w:hAnsi="Arial" w:cs="Arial"/>
          <w:sz w:val="22"/>
          <w:szCs w:val="22"/>
        </w:rPr>
      </w:pPr>
      <w:r w:rsidRPr="009B3B30">
        <w:rPr>
          <w:rFonts w:ascii="Arial" w:eastAsia="Calibri" w:hAnsi="Arial" w:cs="Arial"/>
          <w:b/>
          <w:bCs/>
          <w:sz w:val="22"/>
          <w:szCs w:val="22"/>
        </w:rPr>
        <w:t xml:space="preserve">SUL PERICULUM IN MORA E FUMUS BONI IURIS. </w:t>
      </w:r>
    </w:p>
    <w:p w14:paraId="4F8825ED" w14:textId="2E1994F2" w:rsidR="009B3B30" w:rsidRPr="0056268B" w:rsidRDefault="009B3B30" w:rsidP="00B02396">
      <w:pPr>
        <w:widowControl w:val="0"/>
        <w:autoSpaceDE w:val="0"/>
        <w:autoSpaceDN w:val="0"/>
        <w:adjustRightInd w:val="0"/>
        <w:spacing w:line="360" w:lineRule="auto"/>
        <w:ind w:left="57" w:right="1418"/>
        <w:jc w:val="both"/>
        <w:rPr>
          <w:rFonts w:ascii="Arial" w:eastAsia="Calibri" w:hAnsi="Arial" w:cs="Arial"/>
          <w:sz w:val="22"/>
          <w:szCs w:val="22"/>
        </w:rPr>
      </w:pPr>
      <w:r w:rsidRPr="0056268B">
        <w:rPr>
          <w:rFonts w:ascii="Arial" w:eastAsia="Calibri" w:hAnsi="Arial" w:cs="Arial"/>
          <w:sz w:val="22"/>
          <w:szCs w:val="22"/>
        </w:rPr>
        <w:t xml:space="preserve">Quanto finora esposto rende evidente la indefettibile urgenza che impedisce di attendere i tempi di un ordinario giudizio di cognizione. Ai fini dell’azionabilità della tutela cautelare ex art. 700 c.p.c., infatti, occorre verificare se </w:t>
      </w:r>
      <w:r w:rsidR="00373F45">
        <w:rPr>
          <w:rFonts w:ascii="Arial" w:eastAsia="Calibri" w:hAnsi="Arial" w:cs="Arial"/>
          <w:sz w:val="22"/>
          <w:szCs w:val="22"/>
        </w:rPr>
        <w:t>la</w:t>
      </w:r>
      <w:r w:rsidRPr="0056268B">
        <w:rPr>
          <w:rFonts w:ascii="Arial" w:eastAsia="Calibri" w:hAnsi="Arial" w:cs="Arial"/>
          <w:sz w:val="22"/>
          <w:szCs w:val="22"/>
        </w:rPr>
        <w:t xml:space="preserve"> ricorrente abbia agito per la tutela di un diritto che sia sorretto dal </w:t>
      </w:r>
      <w:r w:rsidRPr="0056268B">
        <w:rPr>
          <w:rFonts w:ascii="Arial" w:eastAsia="Calibri" w:hAnsi="Arial" w:cs="Arial"/>
          <w:i/>
          <w:iCs/>
          <w:sz w:val="22"/>
          <w:szCs w:val="22"/>
        </w:rPr>
        <w:t>fumus boni iuris</w:t>
      </w:r>
      <w:r w:rsidRPr="0056268B">
        <w:rPr>
          <w:rFonts w:ascii="Arial" w:eastAsia="Calibri" w:hAnsi="Arial" w:cs="Arial"/>
          <w:sz w:val="22"/>
          <w:szCs w:val="22"/>
        </w:rPr>
        <w:t xml:space="preserve">, cioè dall’apparente fondatezza della domanda, e dal </w:t>
      </w:r>
      <w:r w:rsidRPr="0056268B">
        <w:rPr>
          <w:rFonts w:ascii="Arial" w:eastAsia="Calibri" w:hAnsi="Arial" w:cs="Arial"/>
          <w:i/>
          <w:iCs/>
          <w:sz w:val="22"/>
          <w:szCs w:val="22"/>
        </w:rPr>
        <w:t>periculum in mora</w:t>
      </w:r>
      <w:r w:rsidRPr="0056268B">
        <w:rPr>
          <w:rFonts w:ascii="Arial" w:eastAsia="Calibri" w:hAnsi="Arial" w:cs="Arial"/>
          <w:sz w:val="22"/>
          <w:szCs w:val="22"/>
        </w:rPr>
        <w:t xml:space="preserve">, cioè sia minacciato da un pregiudizio imminente e irreparabile che non gli consente di poter attendere i tempi di una causa ordinaria. </w:t>
      </w:r>
    </w:p>
    <w:p w14:paraId="3523E1D2" w14:textId="77777777" w:rsidR="009B3B30" w:rsidRPr="0056268B" w:rsidRDefault="009B3B30" w:rsidP="00B02396">
      <w:pPr>
        <w:widowControl w:val="0"/>
        <w:autoSpaceDE w:val="0"/>
        <w:autoSpaceDN w:val="0"/>
        <w:adjustRightInd w:val="0"/>
        <w:spacing w:line="360" w:lineRule="auto"/>
        <w:ind w:left="57" w:right="1418"/>
        <w:jc w:val="both"/>
        <w:rPr>
          <w:rFonts w:ascii="Arial" w:eastAsia="Calibri" w:hAnsi="Arial" w:cs="Arial"/>
          <w:sz w:val="22"/>
          <w:szCs w:val="22"/>
        </w:rPr>
      </w:pPr>
      <w:r w:rsidRPr="0056268B">
        <w:rPr>
          <w:rFonts w:ascii="Arial" w:eastAsia="Calibri" w:hAnsi="Arial" w:cs="Arial"/>
          <w:sz w:val="22"/>
          <w:szCs w:val="22"/>
        </w:rPr>
        <w:t xml:space="preserve">In merito al </w:t>
      </w:r>
      <w:r w:rsidRPr="00D416EA">
        <w:rPr>
          <w:rFonts w:ascii="Arial" w:eastAsia="Calibri" w:hAnsi="Arial" w:cs="Arial"/>
          <w:i/>
          <w:sz w:val="22"/>
          <w:szCs w:val="22"/>
        </w:rPr>
        <w:t>periculum in mora</w:t>
      </w:r>
      <w:r w:rsidRPr="0056268B">
        <w:rPr>
          <w:rFonts w:ascii="Arial" w:eastAsia="Calibri" w:hAnsi="Arial" w:cs="Arial"/>
          <w:sz w:val="22"/>
          <w:szCs w:val="22"/>
        </w:rPr>
        <w:t xml:space="preserve"> va considerato che è in </w:t>
      </w:r>
      <w:r w:rsidRPr="00D416EA">
        <w:rPr>
          <w:rFonts w:ascii="Arial" w:eastAsia="Calibri" w:hAnsi="Arial" w:cs="Arial"/>
          <w:i/>
          <w:sz w:val="22"/>
          <w:szCs w:val="22"/>
        </w:rPr>
        <w:t>re ipsa</w:t>
      </w:r>
      <w:r w:rsidRPr="0056268B">
        <w:rPr>
          <w:rFonts w:ascii="Arial" w:eastAsia="Calibri" w:hAnsi="Arial" w:cs="Arial"/>
          <w:sz w:val="22"/>
          <w:szCs w:val="22"/>
        </w:rPr>
        <w:t xml:space="preserve"> atteso che, </w:t>
      </w:r>
      <w:r w:rsidRPr="0056268B">
        <w:rPr>
          <w:rFonts w:ascii="Arial" w:eastAsia="Calibri" w:hAnsi="Arial" w:cs="Arial"/>
          <w:b/>
          <w:bCs/>
          <w:sz w:val="22"/>
          <w:szCs w:val="22"/>
        </w:rPr>
        <w:t xml:space="preserve">sono partite le domande per le assunzioni dei docenti iscritti a pieno titolo alla data di entrata in vigore della norma della Legge n. 107 del 13.07.2015 (riforma della Buona Scuola) nelle graduatorie ad esaurimento e nelle graduatorie del concorso a cattedra del 2012. </w:t>
      </w:r>
      <w:r w:rsidRPr="0056268B">
        <w:rPr>
          <w:rFonts w:ascii="Arial" w:eastAsia="Calibri" w:hAnsi="Arial" w:cs="Arial"/>
          <w:sz w:val="22"/>
          <w:szCs w:val="22"/>
        </w:rPr>
        <w:t xml:space="preserve">Inoltre, per lo stesso a.s. il MIUR è autorizzato a coprire ulteriori posti destinati al potenziamento dell’offerta formativa e alla copertura delle supplenze temporanee fino a 10 giorni nella scuola primaria e secondaria, e ulteriori posti di potenziamento per il sostegno. Dall’a.s. 2016/2017, questi posti confluiranno nell’organico dell’autonomia e ne costituiranno i posti per il potenziamento. </w:t>
      </w:r>
    </w:p>
    <w:p w14:paraId="3C9AFE45" w14:textId="77777777" w:rsidR="009B3B30" w:rsidRPr="0056268B" w:rsidRDefault="009B3B30" w:rsidP="00B02396">
      <w:pPr>
        <w:widowControl w:val="0"/>
        <w:autoSpaceDE w:val="0"/>
        <w:autoSpaceDN w:val="0"/>
        <w:adjustRightInd w:val="0"/>
        <w:spacing w:line="360" w:lineRule="auto"/>
        <w:ind w:left="57" w:right="1418"/>
        <w:jc w:val="both"/>
        <w:rPr>
          <w:rFonts w:ascii="Arial" w:eastAsia="Calibri" w:hAnsi="Arial" w:cs="Arial"/>
          <w:sz w:val="22"/>
          <w:szCs w:val="22"/>
        </w:rPr>
      </w:pPr>
      <w:r w:rsidRPr="0056268B">
        <w:rPr>
          <w:rFonts w:ascii="Arial" w:eastAsia="Calibri" w:hAnsi="Arial" w:cs="Arial"/>
          <w:sz w:val="22"/>
          <w:szCs w:val="22"/>
        </w:rPr>
        <w:t xml:space="preserve">La prima fase del piano straordinario si </w:t>
      </w:r>
      <w:r>
        <w:rPr>
          <w:rFonts w:ascii="Arial" w:eastAsia="Calibri" w:hAnsi="Arial" w:cs="Arial"/>
          <w:sz w:val="22"/>
          <w:szCs w:val="22"/>
        </w:rPr>
        <w:t>è conclusa</w:t>
      </w:r>
      <w:r w:rsidRPr="0056268B">
        <w:rPr>
          <w:rFonts w:ascii="Arial" w:eastAsia="Calibri" w:hAnsi="Arial" w:cs="Arial"/>
          <w:sz w:val="22"/>
          <w:szCs w:val="22"/>
        </w:rPr>
        <w:t xml:space="preserve"> con l’assunzione entro il 15 settembre 2015. Per le fasi successive, è necessario presentare domanda di assunzione, esprimere l’ordine di preferenza fra tutte le province, nonchè, se si è in possesso della specializzazione, fra posti di sostegno e posti comuni. </w:t>
      </w:r>
    </w:p>
    <w:p w14:paraId="211973C3" w14:textId="77777777" w:rsidR="009B3B30" w:rsidRDefault="009B3B30" w:rsidP="00B02396">
      <w:pPr>
        <w:widowControl w:val="0"/>
        <w:autoSpaceDE w:val="0"/>
        <w:autoSpaceDN w:val="0"/>
        <w:adjustRightInd w:val="0"/>
        <w:spacing w:line="360" w:lineRule="auto"/>
        <w:ind w:left="57" w:right="1418"/>
        <w:jc w:val="both"/>
        <w:rPr>
          <w:rFonts w:ascii="Arial" w:eastAsia="Calibri" w:hAnsi="Arial" w:cs="Arial"/>
          <w:sz w:val="22"/>
          <w:szCs w:val="22"/>
        </w:rPr>
      </w:pPr>
      <w:r w:rsidRPr="0056268B">
        <w:rPr>
          <w:rFonts w:ascii="Arial" w:eastAsia="Calibri" w:hAnsi="Arial" w:cs="Arial"/>
          <w:sz w:val="22"/>
          <w:szCs w:val="22"/>
        </w:rPr>
        <w:t>La suddetta Legge n. 107 del 13.07.2015 “</w:t>
      </w:r>
      <w:r w:rsidRPr="00D416EA">
        <w:rPr>
          <w:rFonts w:ascii="Arial" w:eastAsia="Calibri" w:hAnsi="Arial" w:cs="Arial"/>
          <w:i/>
          <w:sz w:val="22"/>
          <w:szCs w:val="22"/>
        </w:rPr>
        <w:t>Riforma del sistema nazionale di istruzione e formazione</w:t>
      </w:r>
      <w:r w:rsidRPr="0056268B">
        <w:rPr>
          <w:rFonts w:ascii="Arial" w:eastAsia="Calibri" w:hAnsi="Arial" w:cs="Arial"/>
          <w:sz w:val="22"/>
          <w:szCs w:val="22"/>
        </w:rPr>
        <w:t xml:space="preserve">” è chiara in merito in quanto prevede che saranno assunti a tempo indeterminato: </w:t>
      </w:r>
    </w:p>
    <w:p w14:paraId="687AB962" w14:textId="77777777" w:rsidR="009B3B30" w:rsidRDefault="009B3B30" w:rsidP="00B02396">
      <w:pPr>
        <w:widowControl w:val="0"/>
        <w:autoSpaceDE w:val="0"/>
        <w:autoSpaceDN w:val="0"/>
        <w:adjustRightInd w:val="0"/>
        <w:spacing w:line="360" w:lineRule="auto"/>
        <w:ind w:left="57" w:right="1418"/>
        <w:jc w:val="both"/>
        <w:rPr>
          <w:rFonts w:ascii="Arial" w:eastAsia="Calibri" w:hAnsi="Arial" w:cs="Arial"/>
          <w:sz w:val="22"/>
          <w:szCs w:val="22"/>
        </w:rPr>
      </w:pPr>
      <w:r w:rsidRPr="0056268B">
        <w:rPr>
          <w:rFonts w:ascii="Arial" w:eastAsia="Calibri" w:hAnsi="Arial" w:cs="Arial"/>
          <w:b/>
          <w:bCs/>
          <w:sz w:val="22"/>
          <w:szCs w:val="22"/>
        </w:rPr>
        <w:t xml:space="preserve">- i vincitori presenti nelle graduatorie del concorso pubblico </w:t>
      </w:r>
      <w:r w:rsidRPr="0056268B">
        <w:rPr>
          <w:rFonts w:ascii="Arial" w:eastAsia="Calibri" w:hAnsi="Arial" w:cs="Arial"/>
          <w:sz w:val="22"/>
          <w:szCs w:val="22"/>
        </w:rPr>
        <w:t xml:space="preserve">bandito con decreto del M.I.U.R. n. 82 del 24.09.2012; </w:t>
      </w:r>
    </w:p>
    <w:p w14:paraId="4726D19F" w14:textId="77777777" w:rsidR="009B3B30" w:rsidRPr="0056268B" w:rsidRDefault="009B3B30" w:rsidP="00B02396">
      <w:pPr>
        <w:widowControl w:val="0"/>
        <w:autoSpaceDE w:val="0"/>
        <w:autoSpaceDN w:val="0"/>
        <w:adjustRightInd w:val="0"/>
        <w:spacing w:line="360" w:lineRule="auto"/>
        <w:ind w:left="57" w:right="1418"/>
        <w:jc w:val="both"/>
        <w:rPr>
          <w:rFonts w:ascii="Arial" w:eastAsia="Calibri" w:hAnsi="Arial" w:cs="Arial"/>
          <w:sz w:val="22"/>
          <w:szCs w:val="22"/>
        </w:rPr>
      </w:pPr>
      <w:r w:rsidRPr="0056268B">
        <w:rPr>
          <w:rFonts w:ascii="Arial" w:eastAsia="Calibri" w:hAnsi="Arial" w:cs="Arial"/>
          <w:b/>
          <w:bCs/>
          <w:sz w:val="22"/>
          <w:szCs w:val="22"/>
        </w:rPr>
        <w:t xml:space="preserve">- gli iscritti a pieno titolo alla data di entrata in vigore della suddetta legge nelle </w:t>
      </w:r>
      <w:r w:rsidRPr="0056268B">
        <w:rPr>
          <w:rFonts w:ascii="Arial" w:eastAsia="Calibri" w:hAnsi="Arial" w:cs="Arial"/>
          <w:b/>
          <w:bCs/>
          <w:sz w:val="22"/>
          <w:szCs w:val="22"/>
        </w:rPr>
        <w:lastRenderedPageBreak/>
        <w:t xml:space="preserve">graduatorie ad esaurimento del personale docente. </w:t>
      </w:r>
    </w:p>
    <w:p w14:paraId="3744A59E" w14:textId="77777777" w:rsidR="009B3B30" w:rsidRDefault="009B3B30" w:rsidP="00373F45">
      <w:pPr>
        <w:widowControl w:val="0"/>
        <w:autoSpaceDE w:val="0"/>
        <w:autoSpaceDN w:val="0"/>
        <w:adjustRightInd w:val="0"/>
        <w:spacing w:line="360" w:lineRule="auto"/>
        <w:ind w:left="57" w:right="1418"/>
        <w:jc w:val="both"/>
        <w:rPr>
          <w:rFonts w:ascii="Arial" w:hAnsi="Arial" w:cs="Arial"/>
          <w:sz w:val="22"/>
          <w:szCs w:val="22"/>
        </w:rPr>
      </w:pPr>
      <w:r w:rsidRPr="0056268B">
        <w:rPr>
          <w:rFonts w:ascii="Arial" w:eastAsia="Calibri" w:hAnsi="Arial" w:cs="Arial"/>
          <w:sz w:val="22"/>
          <w:szCs w:val="22"/>
        </w:rPr>
        <w:t xml:space="preserve">Tale possibilità di partecipare al piano straordinario di assunzioni a tempo indeterminato, quindi, </w:t>
      </w:r>
      <w:r w:rsidRPr="0056268B">
        <w:rPr>
          <w:rFonts w:ascii="Arial" w:eastAsia="Calibri" w:hAnsi="Arial" w:cs="Arial"/>
          <w:b/>
          <w:bCs/>
          <w:sz w:val="22"/>
          <w:szCs w:val="22"/>
        </w:rPr>
        <w:t xml:space="preserve">sarà concessa solamente al personale docente inserito nelle graduatorie ad esaurimento. </w:t>
      </w:r>
      <w:r w:rsidRPr="00B67D2D">
        <w:rPr>
          <w:rFonts w:ascii="Arial" w:hAnsi="Arial" w:cs="Arial"/>
          <w:sz w:val="22"/>
          <w:szCs w:val="22"/>
        </w:rPr>
        <w:t xml:space="preserve">In effetti, l’ingresso </w:t>
      </w:r>
      <w:r>
        <w:rPr>
          <w:rFonts w:ascii="Arial" w:hAnsi="Arial" w:cs="Arial"/>
          <w:sz w:val="22"/>
          <w:szCs w:val="22"/>
        </w:rPr>
        <w:t>nelle GAE, consentirebbe al comparente di essere assunto</w:t>
      </w:r>
      <w:r w:rsidRPr="00B67D2D">
        <w:rPr>
          <w:rFonts w:ascii="Arial" w:hAnsi="Arial" w:cs="Arial"/>
          <w:sz w:val="22"/>
          <w:szCs w:val="22"/>
        </w:rPr>
        <w:t xml:space="preserve"> a tempo indeterminato posto che il piano di assunzioni di 150.000 unità di cui alla Legge n. 107/2015 già avviato verrà pro</w:t>
      </w:r>
      <w:r>
        <w:rPr>
          <w:rFonts w:ascii="Arial" w:hAnsi="Arial" w:cs="Arial"/>
          <w:sz w:val="22"/>
          <w:szCs w:val="22"/>
        </w:rPr>
        <w:t>seguito anche il prossimo anno.</w:t>
      </w:r>
    </w:p>
    <w:p w14:paraId="5F92649B" w14:textId="77777777" w:rsidR="009B3B30" w:rsidRDefault="009B3B30" w:rsidP="00373F45">
      <w:pPr>
        <w:widowControl w:val="0"/>
        <w:autoSpaceDE w:val="0"/>
        <w:autoSpaceDN w:val="0"/>
        <w:adjustRightInd w:val="0"/>
        <w:spacing w:line="360" w:lineRule="auto"/>
        <w:ind w:left="57" w:right="1418"/>
        <w:jc w:val="both"/>
        <w:rPr>
          <w:rFonts w:ascii="Arial" w:eastAsia="Calibri" w:hAnsi="Arial" w:cs="Arial"/>
          <w:b/>
          <w:bCs/>
          <w:sz w:val="22"/>
          <w:szCs w:val="22"/>
        </w:rPr>
      </w:pPr>
      <w:r w:rsidRPr="00B67D2D">
        <w:rPr>
          <w:rFonts w:ascii="Arial" w:hAnsi="Arial" w:cs="Arial"/>
          <w:sz w:val="22"/>
          <w:szCs w:val="22"/>
        </w:rPr>
        <w:t xml:space="preserve">Le immissioni in ruolo infatti avvengono ogni qualvolta il titolare di una cattedra o posto va in pensione o viene meno e si rende necessaria la sua sostituzione con un docente inserito in GAE. </w:t>
      </w:r>
    </w:p>
    <w:p w14:paraId="0E2A6FB8" w14:textId="7FCACCDC" w:rsidR="009B3B30" w:rsidRDefault="009B3B30" w:rsidP="00373F45">
      <w:pPr>
        <w:widowControl w:val="0"/>
        <w:autoSpaceDE w:val="0"/>
        <w:autoSpaceDN w:val="0"/>
        <w:adjustRightInd w:val="0"/>
        <w:spacing w:line="360" w:lineRule="auto"/>
        <w:ind w:left="57" w:right="1418"/>
        <w:jc w:val="both"/>
        <w:rPr>
          <w:rFonts w:ascii="Arial" w:eastAsia="Calibri" w:hAnsi="Arial" w:cs="Arial"/>
          <w:b/>
          <w:bCs/>
          <w:sz w:val="22"/>
          <w:szCs w:val="22"/>
        </w:rPr>
      </w:pPr>
      <w:r w:rsidRPr="0056268B">
        <w:rPr>
          <w:rFonts w:ascii="Arial" w:eastAsia="Calibri" w:hAnsi="Arial" w:cs="Arial"/>
          <w:sz w:val="22"/>
          <w:szCs w:val="22"/>
        </w:rPr>
        <w:t>E’ evidente che una procedura giudiziale ordinaria che sancisca l’inserimento in graduatoria al termine di questo periodo di piano straordinario di assunzione non sarebbe utile al</w:t>
      </w:r>
      <w:r w:rsidR="00373F45">
        <w:rPr>
          <w:rFonts w:ascii="Arial" w:eastAsia="Calibri" w:hAnsi="Arial" w:cs="Arial"/>
          <w:sz w:val="22"/>
          <w:szCs w:val="22"/>
        </w:rPr>
        <w:t>la</w:t>
      </w:r>
      <w:r w:rsidRPr="0056268B">
        <w:rPr>
          <w:rFonts w:ascii="Arial" w:eastAsia="Calibri" w:hAnsi="Arial" w:cs="Arial"/>
          <w:sz w:val="22"/>
          <w:szCs w:val="22"/>
        </w:rPr>
        <w:t xml:space="preserve"> ricorrente ch</w:t>
      </w:r>
      <w:r w:rsidR="00373F45">
        <w:rPr>
          <w:rFonts w:ascii="Arial" w:eastAsia="Calibri" w:hAnsi="Arial" w:cs="Arial"/>
          <w:sz w:val="22"/>
          <w:szCs w:val="22"/>
        </w:rPr>
        <w:t>e si vedrebbe nuovamente esclusa</w:t>
      </w:r>
      <w:r w:rsidRPr="0056268B">
        <w:rPr>
          <w:rFonts w:ascii="Arial" w:eastAsia="Calibri" w:hAnsi="Arial" w:cs="Arial"/>
          <w:sz w:val="22"/>
          <w:szCs w:val="22"/>
        </w:rPr>
        <w:t xml:space="preserve"> dalla possibilità di es</w:t>
      </w:r>
      <w:r w:rsidR="00373F45">
        <w:rPr>
          <w:rFonts w:ascii="Arial" w:eastAsia="Calibri" w:hAnsi="Arial" w:cs="Arial"/>
          <w:sz w:val="22"/>
          <w:szCs w:val="22"/>
        </w:rPr>
        <w:t>sere assunta</w:t>
      </w:r>
      <w:r w:rsidRPr="0056268B">
        <w:rPr>
          <w:rFonts w:ascii="Arial" w:eastAsia="Calibri" w:hAnsi="Arial" w:cs="Arial"/>
          <w:sz w:val="22"/>
          <w:szCs w:val="22"/>
        </w:rPr>
        <w:t xml:space="preserve"> a tempo indeterminato. </w:t>
      </w:r>
    </w:p>
    <w:p w14:paraId="03933A20" w14:textId="05237B70" w:rsidR="009B3B30" w:rsidRPr="009B3B30" w:rsidRDefault="009B3B30" w:rsidP="00B02396">
      <w:pPr>
        <w:widowControl w:val="0"/>
        <w:autoSpaceDE w:val="0"/>
        <w:autoSpaceDN w:val="0"/>
        <w:adjustRightInd w:val="0"/>
        <w:spacing w:after="240" w:line="360" w:lineRule="auto"/>
        <w:ind w:left="57" w:right="1418"/>
        <w:jc w:val="both"/>
        <w:rPr>
          <w:rFonts w:ascii="Arial" w:eastAsia="Calibri" w:hAnsi="Arial" w:cs="Arial"/>
          <w:sz w:val="22"/>
          <w:szCs w:val="22"/>
        </w:rPr>
      </w:pPr>
      <w:r w:rsidRPr="0056268B">
        <w:rPr>
          <w:rFonts w:ascii="Arial" w:eastAsia="Calibri" w:hAnsi="Arial" w:cs="Arial"/>
          <w:sz w:val="22"/>
          <w:szCs w:val="22"/>
        </w:rPr>
        <w:t xml:space="preserve">In merito al </w:t>
      </w:r>
      <w:r w:rsidRPr="00D416EA">
        <w:rPr>
          <w:rFonts w:ascii="Arial" w:eastAsia="Calibri" w:hAnsi="Arial" w:cs="Arial"/>
          <w:i/>
          <w:sz w:val="22"/>
          <w:szCs w:val="22"/>
        </w:rPr>
        <w:t>fumus boni iuris</w:t>
      </w:r>
      <w:r w:rsidRPr="0056268B">
        <w:rPr>
          <w:rFonts w:ascii="Arial" w:eastAsia="Calibri" w:hAnsi="Arial" w:cs="Arial"/>
          <w:sz w:val="22"/>
          <w:szCs w:val="22"/>
        </w:rPr>
        <w:t xml:space="preserve"> si ritiene che la fondatezza della domanda appaia provata in quanto </w:t>
      </w:r>
      <w:r w:rsidRPr="00B67D2D">
        <w:rPr>
          <w:rFonts w:ascii="Arial" w:hAnsi="Arial" w:cs="Arial"/>
          <w:sz w:val="22"/>
          <w:szCs w:val="22"/>
        </w:rPr>
        <w:t>l’ordinanza del CDS n. 5878/2014</w:t>
      </w:r>
      <w:r>
        <w:rPr>
          <w:rFonts w:ascii="Arial" w:hAnsi="Arial" w:cs="Arial"/>
          <w:sz w:val="22"/>
          <w:szCs w:val="22"/>
        </w:rPr>
        <w:t>,</w:t>
      </w:r>
      <w:r w:rsidRPr="00B67D2D">
        <w:rPr>
          <w:rFonts w:ascii="Arial" w:hAnsi="Arial" w:cs="Arial"/>
          <w:sz w:val="22"/>
          <w:szCs w:val="22"/>
        </w:rPr>
        <w:t xml:space="preserve"> </w:t>
      </w:r>
      <w:r w:rsidR="00373F45">
        <w:rPr>
          <w:rFonts w:ascii="Arial" w:hAnsi="Arial" w:cs="Arial"/>
          <w:sz w:val="22"/>
          <w:szCs w:val="22"/>
        </w:rPr>
        <w:t>le ordinanze</w:t>
      </w:r>
      <w:r>
        <w:rPr>
          <w:rFonts w:ascii="Arial" w:hAnsi="Arial" w:cs="Arial"/>
          <w:color w:val="000000"/>
          <w:sz w:val="21"/>
          <w:szCs w:val="21"/>
        </w:rPr>
        <w:t xml:space="preserve"> </w:t>
      </w:r>
      <w:r w:rsidR="00373F45">
        <w:rPr>
          <w:rFonts w:ascii="Arial" w:hAnsi="Arial" w:cs="Arial"/>
          <w:color w:val="000000"/>
          <w:sz w:val="21"/>
          <w:szCs w:val="21"/>
        </w:rPr>
        <w:t>n</w:t>
      </w:r>
      <w:r>
        <w:rPr>
          <w:rFonts w:ascii="Arial" w:hAnsi="Arial" w:cs="Arial"/>
          <w:color w:val="000000"/>
          <w:sz w:val="21"/>
          <w:szCs w:val="21"/>
        </w:rPr>
        <w:t xml:space="preserve">n. 579 </w:t>
      </w:r>
      <w:r w:rsidR="00373F45">
        <w:rPr>
          <w:rFonts w:ascii="Arial" w:hAnsi="Arial" w:cs="Arial"/>
          <w:color w:val="000000"/>
          <w:sz w:val="21"/>
          <w:szCs w:val="21"/>
        </w:rPr>
        <w:t xml:space="preserve">e 581 </w:t>
      </w:r>
      <w:r>
        <w:rPr>
          <w:rFonts w:ascii="Arial" w:hAnsi="Arial" w:cs="Arial"/>
          <w:color w:val="000000"/>
          <w:sz w:val="21"/>
          <w:szCs w:val="21"/>
        </w:rPr>
        <w:t>del 19.10.2015 del</w:t>
      </w:r>
      <w:r>
        <w:rPr>
          <w:rFonts w:ascii="Arial" w:hAnsi="Arial" w:cs="Arial"/>
          <w:sz w:val="22"/>
          <w:szCs w:val="22"/>
        </w:rPr>
        <w:t xml:space="preserve"> </w:t>
      </w:r>
      <w:r>
        <w:rPr>
          <w:rFonts w:ascii="Arial" w:hAnsi="Arial" w:cs="Arial"/>
          <w:color w:val="000000"/>
          <w:sz w:val="21"/>
          <w:szCs w:val="21"/>
        </w:rPr>
        <w:t xml:space="preserve">Tribunale di Pordenone – sez. Lavoro, e la </w:t>
      </w:r>
      <w:r w:rsidRPr="00B67D2D">
        <w:rPr>
          <w:rFonts w:ascii="Arial" w:hAnsi="Arial" w:cs="Arial"/>
          <w:sz w:val="22"/>
          <w:szCs w:val="22"/>
        </w:rPr>
        <w:t>sentenza n. 2273/8.7.2015</w:t>
      </w:r>
      <w:r>
        <w:rPr>
          <w:rFonts w:ascii="Arial" w:hAnsi="Arial" w:cs="Arial"/>
          <w:color w:val="000000"/>
          <w:sz w:val="21"/>
          <w:szCs w:val="21"/>
        </w:rPr>
        <w:t xml:space="preserve"> del </w:t>
      </w:r>
      <w:r w:rsidRPr="00B67D2D">
        <w:rPr>
          <w:rFonts w:ascii="Arial" w:hAnsi="Arial" w:cs="Arial"/>
          <w:sz w:val="22"/>
          <w:szCs w:val="22"/>
        </w:rPr>
        <w:t>Tribunale di Terni, ha</w:t>
      </w:r>
      <w:r>
        <w:rPr>
          <w:rFonts w:ascii="Arial" w:hAnsi="Arial" w:cs="Arial"/>
          <w:sz w:val="22"/>
          <w:szCs w:val="22"/>
        </w:rPr>
        <w:t>nno</w:t>
      </w:r>
      <w:r w:rsidRPr="00B67D2D">
        <w:rPr>
          <w:rFonts w:ascii="Arial" w:hAnsi="Arial" w:cs="Arial"/>
          <w:sz w:val="22"/>
          <w:szCs w:val="22"/>
        </w:rPr>
        <w:t xml:space="preserve"> disposto l’inserimento a pieno titolo in GAE d</w:t>
      </w:r>
      <w:r>
        <w:rPr>
          <w:rFonts w:ascii="Arial" w:hAnsi="Arial" w:cs="Arial"/>
          <w:sz w:val="22"/>
          <w:szCs w:val="22"/>
        </w:rPr>
        <w:t xml:space="preserve">ei docenti abilitati con i PAS. </w:t>
      </w:r>
      <w:r w:rsidRPr="0056268B">
        <w:rPr>
          <w:rFonts w:ascii="Arial" w:eastAsia="Calibri" w:hAnsi="Arial" w:cs="Arial"/>
          <w:sz w:val="22"/>
          <w:szCs w:val="22"/>
        </w:rPr>
        <w:t>Alla luce di quanto finora detto, è indubbia la sussistenza di entrambi i requisiti necessari per la richiesta di un provvedimento ex art. 700 c.p.c., in ragione del grave ed</w:t>
      </w:r>
      <w:r>
        <w:rPr>
          <w:rFonts w:ascii="Arial" w:eastAsia="Calibri" w:hAnsi="Arial" w:cs="Arial"/>
          <w:sz w:val="22"/>
          <w:szCs w:val="22"/>
        </w:rPr>
        <w:t xml:space="preserve"> irreparabile pregiudizio per il</w:t>
      </w:r>
      <w:r w:rsidRPr="0056268B">
        <w:rPr>
          <w:rFonts w:ascii="Arial" w:eastAsia="Calibri" w:hAnsi="Arial" w:cs="Arial"/>
          <w:sz w:val="22"/>
          <w:szCs w:val="22"/>
        </w:rPr>
        <w:t xml:space="preserve"> ricorrente ove l’Ill.mo Giudice adito non accogliesse il provvedimento urgente richiesto assicurando provvisoriamente </w:t>
      </w:r>
      <w:r>
        <w:rPr>
          <w:rFonts w:ascii="Arial" w:eastAsia="Calibri" w:hAnsi="Arial" w:cs="Arial"/>
          <w:sz w:val="22"/>
          <w:szCs w:val="22"/>
        </w:rPr>
        <w:t>al</w:t>
      </w:r>
      <w:r w:rsidR="00373F45">
        <w:rPr>
          <w:rFonts w:ascii="Arial" w:eastAsia="Calibri" w:hAnsi="Arial" w:cs="Arial"/>
          <w:sz w:val="22"/>
          <w:szCs w:val="22"/>
        </w:rPr>
        <w:t>la</w:t>
      </w:r>
      <w:r>
        <w:rPr>
          <w:rFonts w:ascii="Arial" w:eastAsia="Calibri" w:hAnsi="Arial" w:cs="Arial"/>
          <w:sz w:val="22"/>
          <w:szCs w:val="22"/>
        </w:rPr>
        <w:t xml:space="preserve"> ricorrente stesso</w:t>
      </w:r>
      <w:r w:rsidRPr="0056268B">
        <w:rPr>
          <w:rFonts w:ascii="Arial" w:eastAsia="Calibri" w:hAnsi="Arial" w:cs="Arial"/>
          <w:sz w:val="22"/>
          <w:szCs w:val="22"/>
        </w:rPr>
        <w:t xml:space="preserve"> gli effetti di un giudizio di merito. </w:t>
      </w:r>
    </w:p>
    <w:p w14:paraId="1DA60AE4" w14:textId="77777777" w:rsidR="00B67D2D" w:rsidRPr="00B67D2D" w:rsidRDefault="00B67D2D" w:rsidP="00B02396">
      <w:pPr>
        <w:pStyle w:val="NormaleWeb"/>
        <w:spacing w:line="360" w:lineRule="auto"/>
        <w:ind w:left="57" w:right="1418"/>
        <w:jc w:val="both"/>
        <w:rPr>
          <w:rFonts w:ascii="Arial" w:hAnsi="Arial" w:cs="Arial"/>
          <w:sz w:val="22"/>
          <w:szCs w:val="22"/>
        </w:rPr>
      </w:pPr>
      <w:r w:rsidRPr="00B67D2D">
        <w:rPr>
          <w:rFonts w:ascii="Arial" w:hAnsi="Arial" w:cs="Arial"/>
          <w:sz w:val="22"/>
          <w:szCs w:val="22"/>
        </w:rPr>
        <w:t xml:space="preserve">*** </w:t>
      </w:r>
    </w:p>
    <w:p w14:paraId="05FC84F4" w14:textId="16EB078F" w:rsidR="00B67D2D" w:rsidRPr="00B67D2D" w:rsidRDefault="00B67D2D"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Tutto ciò premesso e considerato, </w:t>
      </w:r>
      <w:r w:rsidR="00373F45">
        <w:rPr>
          <w:rFonts w:ascii="Arial" w:hAnsi="Arial" w:cs="Arial"/>
          <w:sz w:val="22"/>
          <w:szCs w:val="22"/>
        </w:rPr>
        <w:t>la</w:t>
      </w:r>
      <w:r w:rsidR="001A4E71">
        <w:rPr>
          <w:rFonts w:ascii="Arial" w:hAnsi="Arial" w:cs="Arial"/>
          <w:sz w:val="22"/>
          <w:szCs w:val="22"/>
        </w:rPr>
        <w:t xml:space="preserve"> ricorrent</w:t>
      </w:r>
      <w:r w:rsidR="00373F45">
        <w:rPr>
          <w:rFonts w:ascii="Arial" w:hAnsi="Arial" w:cs="Arial"/>
          <w:sz w:val="22"/>
          <w:szCs w:val="22"/>
        </w:rPr>
        <w:t>e come in epigrafe rappresentata, difesa e domiciliata</w:t>
      </w:r>
      <w:r w:rsidRPr="00B67D2D">
        <w:rPr>
          <w:rFonts w:ascii="Arial" w:hAnsi="Arial" w:cs="Arial"/>
          <w:sz w:val="22"/>
          <w:szCs w:val="22"/>
        </w:rPr>
        <w:t xml:space="preserve">, </w:t>
      </w:r>
    </w:p>
    <w:p w14:paraId="438539FD" w14:textId="3BF69170" w:rsidR="00B67D2D" w:rsidRDefault="001A4E71" w:rsidP="00B02396">
      <w:pPr>
        <w:pStyle w:val="NormaleWeb"/>
        <w:spacing w:before="0" w:beforeAutospacing="0" w:after="0" w:afterAutospacing="0" w:line="360" w:lineRule="auto"/>
        <w:ind w:left="57" w:right="1418"/>
        <w:jc w:val="both"/>
        <w:rPr>
          <w:rFonts w:ascii="Arial" w:hAnsi="Arial" w:cs="Arial"/>
          <w:sz w:val="22"/>
          <w:szCs w:val="22"/>
        </w:rPr>
      </w:pPr>
      <w:r>
        <w:rPr>
          <w:rFonts w:ascii="Arial" w:hAnsi="Arial" w:cs="Arial"/>
          <w:sz w:val="22"/>
          <w:szCs w:val="22"/>
        </w:rPr>
        <w:t>conclude:</w:t>
      </w:r>
      <w:r w:rsidR="00B67D2D" w:rsidRPr="00B67D2D">
        <w:rPr>
          <w:rFonts w:ascii="Arial" w:hAnsi="Arial" w:cs="Arial"/>
          <w:sz w:val="22"/>
          <w:szCs w:val="22"/>
        </w:rPr>
        <w:t xml:space="preserve"> </w:t>
      </w:r>
    </w:p>
    <w:p w14:paraId="5656CA34" w14:textId="518DBACF" w:rsidR="009B3B30" w:rsidRDefault="009B3B30"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 xml:space="preserve">“Piaccia a codesto Ecc.mo Tribunale di </w:t>
      </w:r>
      <w:r>
        <w:rPr>
          <w:rFonts w:ascii="Arial" w:hAnsi="Arial" w:cs="Arial"/>
          <w:sz w:val="22"/>
          <w:szCs w:val="22"/>
        </w:rPr>
        <w:t>Salerno</w:t>
      </w:r>
      <w:r w:rsidRPr="00B67D2D">
        <w:rPr>
          <w:rFonts w:ascii="Arial" w:hAnsi="Arial" w:cs="Arial"/>
          <w:sz w:val="22"/>
          <w:szCs w:val="22"/>
        </w:rPr>
        <w:t xml:space="preserve">, Sezione Lavoro, ai sensi degli artt. 409 e ss c.p.c., disattesa ogni contraria istanza, eccezione e deduzione, previa disapplicazione del D.M. n. 235/2014 di aggiornamento delle GAE per il triennio 2014/2017 e del D.M. n. 326 del 03.06.2015 nella parte in cui </w:t>
      </w:r>
      <w:r>
        <w:rPr>
          <w:rFonts w:ascii="Arial" w:hAnsi="Arial" w:cs="Arial"/>
          <w:sz w:val="22"/>
          <w:szCs w:val="22"/>
        </w:rPr>
        <w:t>non consentono al</w:t>
      </w:r>
      <w:r w:rsidR="00373F45">
        <w:rPr>
          <w:rFonts w:ascii="Arial" w:hAnsi="Arial" w:cs="Arial"/>
          <w:sz w:val="22"/>
          <w:szCs w:val="22"/>
        </w:rPr>
        <w:t>la</w:t>
      </w:r>
      <w:r>
        <w:rPr>
          <w:rFonts w:ascii="Arial" w:hAnsi="Arial" w:cs="Arial"/>
          <w:sz w:val="22"/>
          <w:szCs w:val="22"/>
        </w:rPr>
        <w:t xml:space="preserve"> ricorrente</w:t>
      </w:r>
      <w:r w:rsidRPr="00B67D2D">
        <w:rPr>
          <w:rFonts w:ascii="Arial" w:hAnsi="Arial" w:cs="Arial"/>
          <w:sz w:val="22"/>
          <w:szCs w:val="22"/>
        </w:rPr>
        <w:t xml:space="preserve"> di inserirsi nelle GAE medesime, nonché di ogni ulteriore atto collegato, dipendente e/o comunque connesso ag</w:t>
      </w:r>
      <w:r>
        <w:rPr>
          <w:rFonts w:ascii="Arial" w:hAnsi="Arial" w:cs="Arial"/>
          <w:sz w:val="22"/>
          <w:szCs w:val="22"/>
        </w:rPr>
        <w:t>li stessi anche non conosciuto:</w:t>
      </w:r>
    </w:p>
    <w:p w14:paraId="617E243F" w14:textId="77777777" w:rsidR="009B3B30" w:rsidRDefault="009B3B30" w:rsidP="00B02396">
      <w:pPr>
        <w:widowControl w:val="0"/>
        <w:autoSpaceDE w:val="0"/>
        <w:autoSpaceDN w:val="0"/>
        <w:adjustRightInd w:val="0"/>
        <w:spacing w:line="360" w:lineRule="auto"/>
        <w:ind w:left="57" w:right="1418"/>
        <w:jc w:val="both"/>
        <w:rPr>
          <w:rFonts w:ascii="Arial" w:eastAsia="Calibri" w:hAnsi="Arial" w:cs="Arial"/>
          <w:i/>
          <w:iCs/>
          <w:sz w:val="22"/>
          <w:szCs w:val="22"/>
        </w:rPr>
      </w:pPr>
      <w:r w:rsidRPr="00D416EA">
        <w:rPr>
          <w:rFonts w:ascii="Arial" w:eastAsia="Calibri" w:hAnsi="Arial" w:cs="Arial"/>
          <w:b/>
          <w:sz w:val="22"/>
          <w:szCs w:val="22"/>
        </w:rPr>
        <w:t>IN VIA CAUTELARE</w:t>
      </w:r>
      <w:r w:rsidRPr="00D416EA">
        <w:rPr>
          <w:rFonts w:ascii="MS Mincho" w:eastAsia="MS Mincho" w:hAnsi="MS Mincho" w:cs="MS Mincho"/>
          <w:b/>
          <w:sz w:val="22"/>
          <w:szCs w:val="22"/>
        </w:rPr>
        <w:t> </w:t>
      </w:r>
      <w:r w:rsidRPr="00D416EA">
        <w:rPr>
          <w:rFonts w:ascii="Arial" w:eastAsia="Calibri" w:hAnsi="Arial" w:cs="Arial"/>
          <w:b/>
          <w:sz w:val="22"/>
          <w:szCs w:val="22"/>
        </w:rPr>
        <w:t>INAUDITA ALTERA PARTE</w:t>
      </w:r>
      <w:r w:rsidRPr="0056268B">
        <w:rPr>
          <w:rFonts w:ascii="Arial" w:eastAsia="Calibri" w:hAnsi="Arial" w:cs="Arial"/>
          <w:sz w:val="22"/>
          <w:szCs w:val="22"/>
        </w:rPr>
        <w:t xml:space="preserve"> o, in subordine, previa fissazione di udienza ad hoc, accertata la sussistenza del </w:t>
      </w:r>
      <w:r w:rsidRPr="0056268B">
        <w:rPr>
          <w:rFonts w:ascii="Arial" w:eastAsia="Calibri" w:hAnsi="Arial" w:cs="Arial"/>
          <w:i/>
          <w:iCs/>
          <w:sz w:val="22"/>
          <w:szCs w:val="22"/>
        </w:rPr>
        <w:t xml:space="preserve">fumus boni iuris </w:t>
      </w:r>
      <w:r w:rsidRPr="0056268B">
        <w:rPr>
          <w:rFonts w:ascii="Arial" w:eastAsia="Calibri" w:hAnsi="Arial" w:cs="Arial"/>
          <w:sz w:val="22"/>
          <w:szCs w:val="22"/>
        </w:rPr>
        <w:t xml:space="preserve">e del </w:t>
      </w:r>
      <w:r w:rsidRPr="0056268B">
        <w:rPr>
          <w:rFonts w:ascii="Arial" w:eastAsia="Calibri" w:hAnsi="Arial" w:cs="Arial"/>
          <w:i/>
          <w:iCs/>
          <w:sz w:val="22"/>
          <w:szCs w:val="22"/>
        </w:rPr>
        <w:t>periculum in mora:</w:t>
      </w:r>
    </w:p>
    <w:p w14:paraId="3F4168FE" w14:textId="7EF28C8B" w:rsidR="009B3B30" w:rsidRDefault="009B3B30" w:rsidP="00B02396">
      <w:pPr>
        <w:widowControl w:val="0"/>
        <w:autoSpaceDE w:val="0"/>
        <w:autoSpaceDN w:val="0"/>
        <w:adjustRightInd w:val="0"/>
        <w:spacing w:line="360" w:lineRule="auto"/>
        <w:ind w:left="57" w:right="1418"/>
        <w:jc w:val="both"/>
        <w:rPr>
          <w:rFonts w:ascii="Arial" w:eastAsia="Calibri" w:hAnsi="Arial" w:cs="Arial"/>
          <w:sz w:val="22"/>
          <w:szCs w:val="22"/>
        </w:rPr>
      </w:pPr>
      <w:r w:rsidRPr="0056268B">
        <w:rPr>
          <w:rFonts w:ascii="MS Mincho" w:eastAsia="MS Mincho" w:hAnsi="MS Mincho" w:cs="MS Mincho"/>
          <w:i/>
          <w:iCs/>
          <w:sz w:val="22"/>
          <w:szCs w:val="22"/>
        </w:rPr>
        <w:lastRenderedPageBreak/>
        <w:t> </w:t>
      </w:r>
      <w:r w:rsidRPr="0056268B">
        <w:rPr>
          <w:rFonts w:ascii="Arial" w:eastAsia="Calibri" w:hAnsi="Arial" w:cs="Arial"/>
          <w:i/>
          <w:iCs/>
          <w:sz w:val="22"/>
          <w:szCs w:val="22"/>
        </w:rPr>
        <w:t xml:space="preserve">- </w:t>
      </w:r>
      <w:r w:rsidRPr="0056268B">
        <w:rPr>
          <w:rFonts w:ascii="Arial" w:eastAsia="Calibri" w:hAnsi="Arial" w:cs="Arial"/>
          <w:sz w:val="22"/>
          <w:szCs w:val="22"/>
        </w:rPr>
        <w:t>ordinare alle Amministrazioni convenute, ognuna per le proprie determinazioni, di consentire la presentazione della domanda di inserimento del</w:t>
      </w:r>
      <w:r w:rsidR="00373F45">
        <w:rPr>
          <w:rFonts w:ascii="Arial" w:eastAsia="Calibri" w:hAnsi="Arial" w:cs="Arial"/>
          <w:sz w:val="22"/>
          <w:szCs w:val="22"/>
        </w:rPr>
        <w:t>la</w:t>
      </w:r>
      <w:r w:rsidRPr="0056268B">
        <w:rPr>
          <w:rFonts w:ascii="Arial" w:eastAsia="Calibri" w:hAnsi="Arial" w:cs="Arial"/>
          <w:sz w:val="22"/>
          <w:szCs w:val="22"/>
        </w:rPr>
        <w:t xml:space="preserve"> ricorrente nella III fascia delle graduatorie ad esaurimento definitive dell'Ambito Territoriale di Salerno, </w:t>
      </w:r>
      <w:r w:rsidRPr="00B67D2D">
        <w:rPr>
          <w:rFonts w:ascii="Arial" w:hAnsi="Arial" w:cs="Arial"/>
          <w:sz w:val="22"/>
          <w:szCs w:val="22"/>
        </w:rPr>
        <w:t>valide per gli anni scolastici 2014/2017, Scuola secondari</w:t>
      </w:r>
      <w:r>
        <w:rPr>
          <w:rFonts w:ascii="Arial" w:hAnsi="Arial" w:cs="Arial"/>
          <w:sz w:val="22"/>
          <w:szCs w:val="22"/>
        </w:rPr>
        <w:t>a di secondo grado nella classe</w:t>
      </w:r>
      <w:r w:rsidRPr="001A4E71">
        <w:rPr>
          <w:rFonts w:ascii="Arial" w:hAnsi="Arial" w:cs="Arial"/>
          <w:sz w:val="22"/>
          <w:szCs w:val="22"/>
        </w:rPr>
        <w:t xml:space="preserve"> di concorso</w:t>
      </w:r>
      <w:r>
        <w:rPr>
          <w:rFonts w:ascii="Arial" w:hAnsi="Arial" w:cs="Arial"/>
          <w:sz w:val="22"/>
          <w:szCs w:val="22"/>
        </w:rPr>
        <w:t xml:space="preserve"> </w:t>
      </w:r>
      <w:r w:rsidR="00373F45">
        <w:rPr>
          <w:rFonts w:ascii="Arial" w:hAnsi="Arial" w:cs="Arial"/>
          <w:sz w:val="22"/>
          <w:szCs w:val="22"/>
        </w:rPr>
        <w:t>A047</w:t>
      </w:r>
      <w:r>
        <w:rPr>
          <w:rFonts w:ascii="Arial" w:hAnsi="Arial" w:cs="Arial"/>
          <w:sz w:val="22"/>
          <w:szCs w:val="22"/>
        </w:rPr>
        <w:t xml:space="preserve"> –“</w:t>
      </w:r>
      <w:r w:rsidR="00373F45">
        <w:rPr>
          <w:rFonts w:ascii="Arial" w:hAnsi="Arial" w:cs="Arial"/>
          <w:sz w:val="22"/>
          <w:szCs w:val="22"/>
        </w:rPr>
        <w:t>Matematica</w:t>
      </w:r>
      <w:r>
        <w:rPr>
          <w:rFonts w:ascii="Arial" w:hAnsi="Arial" w:cs="Arial"/>
          <w:sz w:val="22"/>
          <w:szCs w:val="22"/>
        </w:rPr>
        <w:t xml:space="preserve">” </w:t>
      </w:r>
      <w:r w:rsidRPr="0056268B">
        <w:rPr>
          <w:rFonts w:ascii="Arial" w:eastAsia="Calibri" w:hAnsi="Arial" w:cs="Arial"/>
          <w:sz w:val="22"/>
          <w:szCs w:val="22"/>
        </w:rPr>
        <w:t xml:space="preserve"> riattivando a tal fine le funzioni della piattaforma telematica </w:t>
      </w:r>
      <w:r w:rsidRPr="0056268B">
        <w:rPr>
          <w:rFonts w:ascii="Arial" w:eastAsia="Calibri" w:hAnsi="Arial" w:cs="Arial"/>
          <w:i/>
          <w:iCs/>
          <w:sz w:val="22"/>
          <w:szCs w:val="22"/>
        </w:rPr>
        <w:t xml:space="preserve">istanze on line", </w:t>
      </w:r>
      <w:r w:rsidRPr="0056268B">
        <w:rPr>
          <w:rFonts w:ascii="Arial" w:eastAsia="Calibri" w:hAnsi="Arial" w:cs="Arial"/>
          <w:sz w:val="22"/>
          <w:szCs w:val="22"/>
        </w:rPr>
        <w:t>ovvero ritenendo utilmente prodotta la dom</w:t>
      </w:r>
      <w:r>
        <w:rPr>
          <w:rFonts w:ascii="Arial" w:eastAsia="Calibri" w:hAnsi="Arial" w:cs="Arial"/>
          <w:sz w:val="22"/>
          <w:szCs w:val="22"/>
        </w:rPr>
        <w:t>anda/diffida</w:t>
      </w:r>
      <w:r w:rsidRPr="0056268B">
        <w:rPr>
          <w:rFonts w:ascii="Arial" w:eastAsia="Calibri" w:hAnsi="Arial" w:cs="Arial"/>
          <w:sz w:val="22"/>
          <w:szCs w:val="22"/>
        </w:rPr>
        <w:t xml:space="preserve"> inviata dal</w:t>
      </w:r>
      <w:r>
        <w:rPr>
          <w:rFonts w:ascii="Arial" w:eastAsia="Calibri" w:hAnsi="Arial" w:cs="Arial"/>
          <w:sz w:val="22"/>
          <w:szCs w:val="22"/>
        </w:rPr>
        <w:t xml:space="preserve"> ricorrente</w:t>
      </w:r>
      <w:r w:rsidRPr="0056268B">
        <w:rPr>
          <w:rFonts w:ascii="Arial" w:eastAsia="Calibri" w:hAnsi="Arial" w:cs="Arial"/>
          <w:sz w:val="22"/>
          <w:szCs w:val="22"/>
        </w:rPr>
        <w:t xml:space="preserve"> al M.I.U.R. - Ufficio Scolastico Regio</w:t>
      </w:r>
      <w:r>
        <w:rPr>
          <w:rFonts w:ascii="Arial" w:eastAsia="Calibri" w:hAnsi="Arial" w:cs="Arial"/>
          <w:sz w:val="22"/>
          <w:szCs w:val="22"/>
        </w:rPr>
        <w:t xml:space="preserve">nale per la Campania </w:t>
      </w:r>
      <w:r w:rsidRPr="0056268B">
        <w:rPr>
          <w:rFonts w:ascii="Arial" w:eastAsia="Calibri" w:hAnsi="Arial" w:cs="Arial"/>
          <w:sz w:val="22"/>
          <w:szCs w:val="22"/>
        </w:rPr>
        <w:t xml:space="preserve"> - Ambito Territoriale di Salerno in forma cartacea con tutti i titoli e i servizi che saranno oggetto di valutazione da parte del M.I.U.R, o, comunque in subordine, consentendone la nuov</w:t>
      </w:r>
      <w:r>
        <w:rPr>
          <w:rFonts w:ascii="Arial" w:eastAsia="Calibri" w:hAnsi="Arial" w:cs="Arial"/>
          <w:sz w:val="22"/>
          <w:szCs w:val="22"/>
        </w:rPr>
        <w:t>a produzione in via cartacea;</w:t>
      </w:r>
    </w:p>
    <w:p w14:paraId="4B65A586" w14:textId="528EBD0B" w:rsidR="009B3B30" w:rsidRPr="0056268B" w:rsidRDefault="009B3B30" w:rsidP="00B02396">
      <w:pPr>
        <w:widowControl w:val="0"/>
        <w:autoSpaceDE w:val="0"/>
        <w:autoSpaceDN w:val="0"/>
        <w:adjustRightInd w:val="0"/>
        <w:spacing w:after="240" w:line="360" w:lineRule="auto"/>
        <w:ind w:left="57" w:right="1418"/>
        <w:jc w:val="both"/>
        <w:rPr>
          <w:rFonts w:ascii="Arial" w:eastAsia="Calibri" w:hAnsi="Arial" w:cs="Arial"/>
          <w:sz w:val="22"/>
          <w:szCs w:val="22"/>
        </w:rPr>
      </w:pPr>
      <w:r>
        <w:rPr>
          <w:rFonts w:ascii="Arial" w:eastAsia="Calibri" w:hAnsi="Arial" w:cs="Arial"/>
          <w:sz w:val="22"/>
          <w:szCs w:val="22"/>
        </w:rPr>
        <w:t xml:space="preserve"> - ordinare alle Amministrazioni</w:t>
      </w:r>
      <w:r w:rsidRPr="0056268B">
        <w:rPr>
          <w:rFonts w:ascii="Arial" w:eastAsia="Calibri" w:hAnsi="Arial" w:cs="Arial"/>
          <w:sz w:val="22"/>
          <w:szCs w:val="22"/>
        </w:rPr>
        <w:t xml:space="preserve"> convenute, ognuna per le proprie determinazioni, di accogliere la predetta domanda e dunque inserire </w:t>
      </w:r>
      <w:r w:rsidR="00373F45">
        <w:rPr>
          <w:rFonts w:ascii="Arial" w:eastAsia="Calibri" w:hAnsi="Arial" w:cs="Arial"/>
          <w:sz w:val="22"/>
          <w:szCs w:val="22"/>
        </w:rPr>
        <w:t>la</w:t>
      </w:r>
      <w:r>
        <w:rPr>
          <w:rFonts w:ascii="Arial" w:eastAsia="Calibri" w:hAnsi="Arial" w:cs="Arial"/>
          <w:sz w:val="22"/>
          <w:szCs w:val="22"/>
        </w:rPr>
        <w:t xml:space="preserve"> </w:t>
      </w:r>
      <w:r w:rsidRPr="0056268B">
        <w:rPr>
          <w:rFonts w:ascii="Arial" w:eastAsia="Calibri" w:hAnsi="Arial" w:cs="Arial"/>
          <w:sz w:val="22"/>
          <w:szCs w:val="22"/>
        </w:rPr>
        <w:t xml:space="preserve">ricorrente nelle </w:t>
      </w:r>
      <w:r w:rsidR="00373F45">
        <w:rPr>
          <w:rFonts w:ascii="Arial" w:eastAsia="Calibri" w:hAnsi="Arial" w:cs="Arial"/>
          <w:sz w:val="22"/>
          <w:szCs w:val="22"/>
        </w:rPr>
        <w:t>suddette</w:t>
      </w:r>
      <w:r w:rsidRPr="0056268B">
        <w:rPr>
          <w:rFonts w:ascii="Arial" w:eastAsia="Calibri" w:hAnsi="Arial" w:cs="Arial"/>
          <w:sz w:val="22"/>
          <w:szCs w:val="22"/>
        </w:rPr>
        <w:t xml:space="preserve"> graduatorie ad esaurimento e relativi </w:t>
      </w:r>
      <w:r>
        <w:rPr>
          <w:rFonts w:ascii="Arial" w:eastAsia="Calibri" w:hAnsi="Arial" w:cs="Arial"/>
          <w:sz w:val="22"/>
          <w:szCs w:val="22"/>
        </w:rPr>
        <w:t xml:space="preserve">elenchi </w:t>
      </w:r>
      <w:r w:rsidRPr="0056268B">
        <w:rPr>
          <w:rFonts w:ascii="Arial" w:eastAsia="Calibri" w:hAnsi="Arial" w:cs="Arial"/>
          <w:sz w:val="22"/>
          <w:szCs w:val="22"/>
        </w:rPr>
        <w:t>a tutti gli effetti con il punteggio attribuibile al</w:t>
      </w:r>
      <w:r w:rsidR="00373F45">
        <w:rPr>
          <w:rFonts w:ascii="Arial" w:eastAsia="Calibri" w:hAnsi="Arial" w:cs="Arial"/>
          <w:sz w:val="22"/>
          <w:szCs w:val="22"/>
        </w:rPr>
        <w:t>la medesima</w:t>
      </w:r>
      <w:r w:rsidRPr="0056268B">
        <w:rPr>
          <w:rFonts w:ascii="Arial" w:eastAsia="Calibri" w:hAnsi="Arial" w:cs="Arial"/>
          <w:sz w:val="22"/>
          <w:szCs w:val="22"/>
        </w:rPr>
        <w:t xml:space="preserve"> applicando la tabella di valutazione dei titoli di cui all'Allegato 2 del D.M. </w:t>
      </w:r>
      <w:r w:rsidRPr="0056268B">
        <w:rPr>
          <w:rFonts w:ascii="Arial" w:eastAsia="Calibri" w:hAnsi="Arial" w:cs="Arial"/>
          <w:i/>
          <w:iCs/>
          <w:sz w:val="22"/>
          <w:szCs w:val="22"/>
        </w:rPr>
        <w:t xml:space="preserve">235/2014; </w:t>
      </w:r>
    </w:p>
    <w:p w14:paraId="158BE9F0" w14:textId="77777777" w:rsidR="009B3B30" w:rsidRPr="0056268B" w:rsidRDefault="009B3B30" w:rsidP="00B02396">
      <w:pPr>
        <w:widowControl w:val="0"/>
        <w:autoSpaceDE w:val="0"/>
        <w:autoSpaceDN w:val="0"/>
        <w:adjustRightInd w:val="0"/>
        <w:spacing w:line="360" w:lineRule="auto"/>
        <w:ind w:left="57" w:right="1418"/>
        <w:jc w:val="both"/>
        <w:rPr>
          <w:rFonts w:ascii="Arial" w:eastAsia="Calibri" w:hAnsi="Arial" w:cs="Arial"/>
          <w:sz w:val="22"/>
          <w:szCs w:val="22"/>
        </w:rPr>
      </w:pPr>
      <w:r w:rsidRPr="0056268B">
        <w:rPr>
          <w:rFonts w:ascii="Arial" w:eastAsia="Calibri" w:hAnsi="Arial" w:cs="Arial"/>
          <w:i/>
          <w:iCs/>
          <w:sz w:val="22"/>
          <w:szCs w:val="22"/>
        </w:rPr>
        <w:t xml:space="preserve">- </w:t>
      </w:r>
      <w:r w:rsidRPr="0056268B">
        <w:rPr>
          <w:rFonts w:ascii="Arial" w:eastAsia="Calibri" w:hAnsi="Arial" w:cs="Arial"/>
          <w:sz w:val="22"/>
          <w:szCs w:val="22"/>
        </w:rPr>
        <w:t xml:space="preserve">quanto sopra </w:t>
      </w:r>
      <w:r w:rsidRPr="007F5A1A">
        <w:rPr>
          <w:rFonts w:ascii="Arial" w:eastAsia="Calibri" w:hAnsi="Arial" w:cs="Arial"/>
          <w:b/>
          <w:sz w:val="22"/>
          <w:szCs w:val="22"/>
        </w:rPr>
        <w:t>CON EFFETTO RETROATTIVO</w:t>
      </w:r>
      <w:r w:rsidRPr="0056268B">
        <w:rPr>
          <w:rFonts w:ascii="Arial" w:eastAsia="Calibri" w:hAnsi="Arial" w:cs="Arial"/>
          <w:sz w:val="22"/>
          <w:szCs w:val="22"/>
        </w:rPr>
        <w:t xml:space="preserve"> dalla data di approvazione delle GAE o, in subordine, dalla data della domanda giudiziale e, dunque, anche ai fini della partecipazione al piano straordinario di immissioni in ruolo. </w:t>
      </w:r>
    </w:p>
    <w:p w14:paraId="339A5103" w14:textId="77777777" w:rsidR="009B3B30" w:rsidRPr="007F5A1A" w:rsidRDefault="009B3B30" w:rsidP="00B02396">
      <w:pPr>
        <w:widowControl w:val="0"/>
        <w:autoSpaceDE w:val="0"/>
        <w:autoSpaceDN w:val="0"/>
        <w:adjustRightInd w:val="0"/>
        <w:spacing w:line="360" w:lineRule="auto"/>
        <w:ind w:left="57" w:right="1418"/>
        <w:jc w:val="both"/>
        <w:rPr>
          <w:rFonts w:ascii="Arial" w:eastAsia="Calibri" w:hAnsi="Arial" w:cs="Arial"/>
          <w:b/>
          <w:sz w:val="22"/>
          <w:szCs w:val="22"/>
        </w:rPr>
      </w:pPr>
      <w:r w:rsidRPr="007F5A1A">
        <w:rPr>
          <w:rFonts w:ascii="Arial" w:eastAsia="Calibri" w:hAnsi="Arial" w:cs="Arial"/>
          <w:b/>
          <w:sz w:val="22"/>
          <w:szCs w:val="22"/>
        </w:rPr>
        <w:t>NEL MERITO</w:t>
      </w:r>
    </w:p>
    <w:p w14:paraId="4222BC1A" w14:textId="77777777" w:rsidR="009B3B30" w:rsidRDefault="009B3B30" w:rsidP="00B02396">
      <w:pPr>
        <w:widowControl w:val="0"/>
        <w:autoSpaceDE w:val="0"/>
        <w:autoSpaceDN w:val="0"/>
        <w:adjustRightInd w:val="0"/>
        <w:spacing w:line="360" w:lineRule="auto"/>
        <w:ind w:left="57" w:right="1418"/>
        <w:jc w:val="both"/>
        <w:rPr>
          <w:rFonts w:ascii="Arial" w:eastAsia="Calibri" w:hAnsi="Arial" w:cs="Arial"/>
          <w:sz w:val="22"/>
          <w:szCs w:val="22"/>
        </w:rPr>
      </w:pPr>
      <w:r w:rsidRPr="0056268B">
        <w:rPr>
          <w:rFonts w:ascii="Arial" w:eastAsia="Calibri" w:hAnsi="Arial" w:cs="Arial"/>
          <w:sz w:val="22"/>
          <w:szCs w:val="22"/>
        </w:rPr>
        <w:t>Previa disapplicazione di tutti gli atti presupposti e conseguenti,</w:t>
      </w:r>
    </w:p>
    <w:p w14:paraId="0D0E0287" w14:textId="76828091" w:rsidR="009B3B30" w:rsidRDefault="009B3B30" w:rsidP="00B02396">
      <w:pPr>
        <w:pStyle w:val="NormaleWeb"/>
        <w:numPr>
          <w:ilvl w:val="0"/>
          <w:numId w:val="19"/>
        </w:numPr>
        <w:spacing w:before="0" w:beforeAutospacing="0" w:after="0" w:afterAutospacing="0" w:line="360" w:lineRule="auto"/>
        <w:ind w:left="57" w:right="1418"/>
        <w:jc w:val="both"/>
        <w:rPr>
          <w:rFonts w:ascii="Arial" w:hAnsi="Arial" w:cs="Arial"/>
          <w:sz w:val="22"/>
          <w:szCs w:val="22"/>
        </w:rPr>
      </w:pPr>
      <w:r w:rsidRPr="0056268B">
        <w:rPr>
          <w:rFonts w:ascii="MS Mincho" w:eastAsia="MS Mincho" w:hAnsi="MS Mincho" w:cs="MS Mincho"/>
          <w:sz w:val="22"/>
          <w:szCs w:val="22"/>
        </w:rPr>
        <w:t> </w:t>
      </w:r>
      <w:r w:rsidRPr="009B3B30">
        <w:rPr>
          <w:rFonts w:ascii="Arial" w:hAnsi="Arial" w:cs="Arial"/>
          <w:sz w:val="22"/>
          <w:szCs w:val="22"/>
        </w:rPr>
        <w:t xml:space="preserve"> </w:t>
      </w:r>
      <w:r w:rsidRPr="00B67D2D">
        <w:rPr>
          <w:rFonts w:ascii="Arial" w:hAnsi="Arial" w:cs="Arial"/>
          <w:sz w:val="22"/>
          <w:szCs w:val="22"/>
        </w:rPr>
        <w:t xml:space="preserve">accertare e dichiarare il diritto </w:t>
      </w:r>
      <w:r>
        <w:rPr>
          <w:rFonts w:ascii="Arial" w:hAnsi="Arial" w:cs="Arial"/>
          <w:sz w:val="22"/>
          <w:szCs w:val="22"/>
        </w:rPr>
        <w:t>del</w:t>
      </w:r>
      <w:r w:rsidR="00373F45">
        <w:rPr>
          <w:rFonts w:ascii="Arial" w:hAnsi="Arial" w:cs="Arial"/>
          <w:sz w:val="22"/>
          <w:szCs w:val="22"/>
        </w:rPr>
        <w:t>la</w:t>
      </w:r>
      <w:r>
        <w:rPr>
          <w:rFonts w:ascii="Arial" w:hAnsi="Arial" w:cs="Arial"/>
          <w:sz w:val="22"/>
          <w:szCs w:val="22"/>
        </w:rPr>
        <w:t xml:space="preserve"> sig.</w:t>
      </w:r>
      <w:r w:rsidR="00373F45">
        <w:rPr>
          <w:rFonts w:ascii="Arial" w:hAnsi="Arial" w:cs="Arial"/>
          <w:sz w:val="22"/>
          <w:szCs w:val="22"/>
        </w:rPr>
        <w:t>ra</w:t>
      </w:r>
      <w:r>
        <w:rPr>
          <w:rFonts w:ascii="Arial" w:hAnsi="Arial" w:cs="Arial"/>
          <w:sz w:val="22"/>
          <w:szCs w:val="22"/>
        </w:rPr>
        <w:t xml:space="preserve"> </w:t>
      </w:r>
      <w:r w:rsidR="00373F45">
        <w:rPr>
          <w:rFonts w:ascii="Arial" w:hAnsi="Arial" w:cs="Arial"/>
          <w:sz w:val="22"/>
          <w:szCs w:val="22"/>
        </w:rPr>
        <w:t>Lucia Procida ad essere inserita</w:t>
      </w:r>
      <w:r w:rsidRPr="00B67D2D">
        <w:rPr>
          <w:rFonts w:ascii="Arial" w:hAnsi="Arial" w:cs="Arial"/>
          <w:sz w:val="22"/>
          <w:szCs w:val="22"/>
        </w:rPr>
        <w:t xml:space="preserve"> a pieno titolo nella III fascia delle GAE definitive dell’USR della </w:t>
      </w:r>
      <w:r>
        <w:rPr>
          <w:rFonts w:ascii="Arial" w:hAnsi="Arial" w:cs="Arial"/>
          <w:sz w:val="22"/>
          <w:szCs w:val="22"/>
        </w:rPr>
        <w:t>Campania</w:t>
      </w:r>
      <w:r w:rsidRPr="00B67D2D">
        <w:rPr>
          <w:rFonts w:ascii="Arial" w:hAnsi="Arial" w:cs="Arial"/>
          <w:sz w:val="22"/>
          <w:szCs w:val="22"/>
        </w:rPr>
        <w:t xml:space="preserve">, Ambito Territoriale di </w:t>
      </w:r>
      <w:r>
        <w:rPr>
          <w:rFonts w:ascii="Arial" w:hAnsi="Arial" w:cs="Arial"/>
          <w:sz w:val="22"/>
          <w:szCs w:val="22"/>
        </w:rPr>
        <w:t>Salerno</w:t>
      </w:r>
      <w:r w:rsidRPr="00B67D2D">
        <w:rPr>
          <w:rFonts w:ascii="Arial" w:hAnsi="Arial" w:cs="Arial"/>
          <w:sz w:val="22"/>
          <w:szCs w:val="22"/>
        </w:rPr>
        <w:t xml:space="preserve"> valide per gli anni scolastici 2014/2017, Scuola secondari</w:t>
      </w:r>
      <w:r>
        <w:rPr>
          <w:rFonts w:ascii="Arial" w:hAnsi="Arial" w:cs="Arial"/>
          <w:sz w:val="22"/>
          <w:szCs w:val="22"/>
        </w:rPr>
        <w:t>a di secondo grado nella classe</w:t>
      </w:r>
      <w:r w:rsidRPr="001A4E71">
        <w:rPr>
          <w:rFonts w:ascii="Arial" w:hAnsi="Arial" w:cs="Arial"/>
          <w:sz w:val="22"/>
          <w:szCs w:val="22"/>
        </w:rPr>
        <w:t xml:space="preserve"> di concorso</w:t>
      </w:r>
      <w:r>
        <w:rPr>
          <w:rFonts w:ascii="Arial" w:hAnsi="Arial" w:cs="Arial"/>
          <w:sz w:val="22"/>
          <w:szCs w:val="22"/>
        </w:rPr>
        <w:t xml:space="preserve"> </w:t>
      </w:r>
      <w:r w:rsidR="00373F45">
        <w:rPr>
          <w:rFonts w:ascii="Arial" w:hAnsi="Arial" w:cs="Arial"/>
          <w:sz w:val="22"/>
          <w:szCs w:val="22"/>
        </w:rPr>
        <w:t>A047</w:t>
      </w:r>
      <w:r>
        <w:rPr>
          <w:rFonts w:ascii="Arial" w:hAnsi="Arial" w:cs="Arial"/>
          <w:sz w:val="22"/>
          <w:szCs w:val="22"/>
        </w:rPr>
        <w:t xml:space="preserve"> –“</w:t>
      </w:r>
      <w:r w:rsidR="00373F45">
        <w:rPr>
          <w:rFonts w:ascii="Arial" w:hAnsi="Arial" w:cs="Arial"/>
          <w:sz w:val="22"/>
          <w:szCs w:val="22"/>
        </w:rPr>
        <w:t>Matematica</w:t>
      </w:r>
      <w:r>
        <w:rPr>
          <w:rFonts w:ascii="Arial" w:hAnsi="Arial" w:cs="Arial"/>
          <w:sz w:val="22"/>
          <w:szCs w:val="22"/>
        </w:rPr>
        <w:t xml:space="preserve">” </w:t>
      </w:r>
      <w:r w:rsidRPr="001A4E71">
        <w:rPr>
          <w:rFonts w:ascii="Arial" w:hAnsi="Arial" w:cs="Arial"/>
          <w:sz w:val="22"/>
          <w:szCs w:val="22"/>
        </w:rPr>
        <w:t xml:space="preserve">così come richiesto </w:t>
      </w:r>
      <w:r>
        <w:rPr>
          <w:rFonts w:ascii="Arial" w:hAnsi="Arial" w:cs="Arial"/>
          <w:sz w:val="22"/>
          <w:szCs w:val="22"/>
        </w:rPr>
        <w:t>dal</w:t>
      </w:r>
      <w:r w:rsidR="00373F45">
        <w:rPr>
          <w:rFonts w:ascii="Arial" w:hAnsi="Arial" w:cs="Arial"/>
          <w:sz w:val="22"/>
          <w:szCs w:val="22"/>
        </w:rPr>
        <w:t>la</w:t>
      </w:r>
      <w:r>
        <w:rPr>
          <w:rFonts w:ascii="Arial" w:hAnsi="Arial" w:cs="Arial"/>
          <w:sz w:val="22"/>
          <w:szCs w:val="22"/>
        </w:rPr>
        <w:t xml:space="preserve"> ricorrente</w:t>
      </w:r>
      <w:r w:rsidRPr="001A4E71">
        <w:rPr>
          <w:rFonts w:ascii="Arial" w:hAnsi="Arial" w:cs="Arial"/>
          <w:sz w:val="22"/>
          <w:szCs w:val="22"/>
        </w:rPr>
        <w:t xml:space="preserve"> in base alla propria materia di insegnamento, domanda e/o istanza di inserimento, anche da ripresentare, con i punteggi spettanti in virtù dei titoli e servizi posseduti al momento dell’inserimento e, per l’effetto, condannare le Amministrazioni convenute ad adottare tutti i provvedimenti idonei a consentire il predetto inserimento in via definitiva; </w:t>
      </w:r>
    </w:p>
    <w:p w14:paraId="6D83B63A" w14:textId="078B4479" w:rsidR="009B3B30" w:rsidRPr="001A4E71" w:rsidRDefault="009B3B30" w:rsidP="00B02396">
      <w:pPr>
        <w:pStyle w:val="NormaleWeb"/>
        <w:numPr>
          <w:ilvl w:val="0"/>
          <w:numId w:val="19"/>
        </w:numPr>
        <w:spacing w:before="0" w:beforeAutospacing="0" w:after="0" w:afterAutospacing="0" w:line="360" w:lineRule="auto"/>
        <w:ind w:left="57" w:right="1418"/>
        <w:jc w:val="both"/>
        <w:rPr>
          <w:rFonts w:ascii="Arial" w:hAnsi="Arial" w:cs="Arial"/>
          <w:sz w:val="22"/>
          <w:szCs w:val="22"/>
        </w:rPr>
      </w:pPr>
      <w:r w:rsidRPr="001A4E71">
        <w:rPr>
          <w:rFonts w:ascii="Arial" w:hAnsi="Arial" w:cs="Arial"/>
          <w:sz w:val="22"/>
          <w:szCs w:val="22"/>
        </w:rPr>
        <w:t>accertare e dichiarare la responsabilità del MIUR per l’illegittimo comportamento e per l’effetto condannare il medesimo al risarcimento di tutti i danni patrimoniali e non patr</w:t>
      </w:r>
      <w:r>
        <w:rPr>
          <w:rFonts w:ascii="Arial" w:hAnsi="Arial" w:cs="Arial"/>
          <w:sz w:val="22"/>
          <w:szCs w:val="22"/>
        </w:rPr>
        <w:t>imoniali, patiti e patiendi, dal</w:t>
      </w:r>
      <w:r w:rsidR="00373F45">
        <w:rPr>
          <w:rFonts w:ascii="Arial" w:hAnsi="Arial" w:cs="Arial"/>
          <w:sz w:val="22"/>
          <w:szCs w:val="22"/>
        </w:rPr>
        <w:t>la</w:t>
      </w:r>
      <w:r w:rsidRPr="001A4E71">
        <w:rPr>
          <w:rFonts w:ascii="Arial" w:hAnsi="Arial" w:cs="Arial"/>
          <w:sz w:val="22"/>
          <w:szCs w:val="22"/>
        </w:rPr>
        <w:t xml:space="preserve"> rico</w:t>
      </w:r>
      <w:r>
        <w:rPr>
          <w:rFonts w:ascii="Arial" w:hAnsi="Arial" w:cs="Arial"/>
          <w:sz w:val="22"/>
          <w:szCs w:val="22"/>
        </w:rPr>
        <w:t>rrente</w:t>
      </w:r>
      <w:r w:rsidRPr="001A4E71">
        <w:rPr>
          <w:rFonts w:ascii="Arial" w:hAnsi="Arial" w:cs="Arial"/>
          <w:sz w:val="22"/>
          <w:szCs w:val="22"/>
        </w:rPr>
        <w:t xml:space="preserve"> anche per perdita di </w:t>
      </w:r>
      <w:r w:rsidRPr="00403E01">
        <w:rPr>
          <w:rFonts w:ascii="Arial" w:hAnsi="Arial" w:cs="Arial"/>
          <w:i/>
          <w:sz w:val="22"/>
          <w:szCs w:val="22"/>
        </w:rPr>
        <w:t>chanche</w:t>
      </w:r>
      <w:r w:rsidRPr="001A4E71">
        <w:rPr>
          <w:rFonts w:ascii="Arial" w:hAnsi="Arial" w:cs="Arial"/>
          <w:sz w:val="22"/>
          <w:szCs w:val="22"/>
        </w:rPr>
        <w:t xml:space="preserve">, da accertarsi in corso di causa o nella misura che verrà determinata dal Giudice. </w:t>
      </w:r>
    </w:p>
    <w:p w14:paraId="70F2D052" w14:textId="77777777" w:rsidR="009B3B30" w:rsidRPr="00B67D2D" w:rsidRDefault="009B3B30" w:rsidP="00B02396">
      <w:pPr>
        <w:pStyle w:val="NormaleWeb"/>
        <w:spacing w:before="0" w:beforeAutospacing="0" w:after="0" w:afterAutospacing="0" w:line="360" w:lineRule="auto"/>
        <w:ind w:left="57" w:right="1418"/>
        <w:jc w:val="both"/>
        <w:rPr>
          <w:rFonts w:ascii="Arial" w:hAnsi="Arial" w:cs="Arial"/>
          <w:sz w:val="22"/>
          <w:szCs w:val="22"/>
        </w:rPr>
      </w:pPr>
      <w:r w:rsidRPr="0055777F">
        <w:rPr>
          <w:rFonts w:ascii="Arial" w:hAnsi="Arial" w:cs="Arial"/>
          <w:b/>
          <w:sz w:val="22"/>
          <w:szCs w:val="22"/>
        </w:rPr>
        <w:t>In via subordinata</w:t>
      </w:r>
      <w:r w:rsidRPr="00B67D2D">
        <w:rPr>
          <w:rFonts w:ascii="Arial" w:hAnsi="Arial" w:cs="Arial"/>
          <w:sz w:val="22"/>
          <w:szCs w:val="22"/>
        </w:rPr>
        <w:t xml:space="preserve">, </w:t>
      </w:r>
    </w:p>
    <w:p w14:paraId="2E2EC05E" w14:textId="04CE8AEF" w:rsidR="009B3B30" w:rsidRPr="00B67D2D" w:rsidRDefault="009B3B30" w:rsidP="00B02396">
      <w:pPr>
        <w:pStyle w:val="NormaleWeb"/>
        <w:spacing w:before="0" w:beforeAutospacing="0" w:after="0" w:afterAutospacing="0" w:line="360" w:lineRule="auto"/>
        <w:ind w:left="57" w:right="1418"/>
        <w:jc w:val="both"/>
        <w:rPr>
          <w:rFonts w:ascii="Arial" w:hAnsi="Arial" w:cs="Arial"/>
          <w:sz w:val="22"/>
          <w:szCs w:val="22"/>
        </w:rPr>
      </w:pPr>
      <w:r w:rsidRPr="00B67D2D">
        <w:rPr>
          <w:rFonts w:ascii="Arial" w:hAnsi="Arial" w:cs="Arial"/>
          <w:sz w:val="22"/>
          <w:szCs w:val="22"/>
        </w:rPr>
        <w:t>nella, denegata ipotesi di mancato accoglimento della domanda principale, accer</w:t>
      </w:r>
      <w:r>
        <w:rPr>
          <w:rFonts w:ascii="Arial" w:hAnsi="Arial" w:cs="Arial"/>
          <w:sz w:val="22"/>
          <w:szCs w:val="22"/>
        </w:rPr>
        <w:t>tare e dichiarare il diritto del</w:t>
      </w:r>
      <w:r w:rsidR="00373F45">
        <w:rPr>
          <w:rFonts w:ascii="Arial" w:hAnsi="Arial" w:cs="Arial"/>
          <w:sz w:val="22"/>
          <w:szCs w:val="22"/>
        </w:rPr>
        <w:t>la</w:t>
      </w:r>
      <w:r w:rsidRPr="00B67D2D">
        <w:rPr>
          <w:rFonts w:ascii="Arial" w:hAnsi="Arial" w:cs="Arial"/>
          <w:sz w:val="22"/>
          <w:szCs w:val="22"/>
        </w:rPr>
        <w:t xml:space="preserve"> ri</w:t>
      </w:r>
      <w:r>
        <w:rPr>
          <w:rFonts w:ascii="Arial" w:hAnsi="Arial" w:cs="Arial"/>
          <w:sz w:val="22"/>
          <w:szCs w:val="22"/>
        </w:rPr>
        <w:t>corrente</w:t>
      </w:r>
      <w:r w:rsidRPr="00B67D2D">
        <w:rPr>
          <w:rFonts w:ascii="Arial" w:hAnsi="Arial" w:cs="Arial"/>
          <w:sz w:val="22"/>
          <w:szCs w:val="22"/>
        </w:rPr>
        <w:t xml:space="preserve"> al rimborso delle somme e spese sostenute per ottenere il </w:t>
      </w:r>
      <w:r w:rsidRPr="00B67D2D">
        <w:rPr>
          <w:rFonts w:ascii="Arial" w:hAnsi="Arial" w:cs="Arial"/>
          <w:sz w:val="22"/>
          <w:szCs w:val="22"/>
        </w:rPr>
        <w:lastRenderedPageBreak/>
        <w:t xml:space="preserve">titolo abilitante richiesto dal Miur e poi dallo stesso non riconosciuto valido per l’inserimento in GAE, e per l’effetto condannare il Miur medesimo al pagamento delle medesime somme nonché del danno non patrimoniale derivante dalla predetta condotta, nella misura da accertarsi in separato giudizio. </w:t>
      </w:r>
    </w:p>
    <w:p w14:paraId="5296A340" w14:textId="77777777" w:rsidR="009B3B30" w:rsidRPr="001A4E71" w:rsidRDefault="009B3B30" w:rsidP="00B02396">
      <w:pPr>
        <w:pStyle w:val="NormaleWeb"/>
        <w:spacing w:before="0" w:beforeAutospacing="0" w:after="0" w:afterAutospacing="0" w:line="360" w:lineRule="auto"/>
        <w:ind w:left="57" w:right="1418"/>
        <w:jc w:val="both"/>
        <w:rPr>
          <w:rFonts w:ascii="Arial" w:eastAsia="MingLiU" w:hAnsi="Arial" w:cs="Arial"/>
          <w:sz w:val="22"/>
          <w:szCs w:val="22"/>
        </w:rPr>
      </w:pPr>
      <w:r w:rsidRPr="00B67D2D">
        <w:rPr>
          <w:rFonts w:ascii="Arial" w:hAnsi="Arial" w:cs="Arial"/>
          <w:sz w:val="22"/>
          <w:szCs w:val="22"/>
        </w:rPr>
        <w:t>In ogni caso con vittoria di spese e competenze del giudizio</w:t>
      </w:r>
      <w:r>
        <w:rPr>
          <w:rFonts w:ascii="Arial" w:hAnsi="Arial" w:cs="Arial"/>
          <w:sz w:val="22"/>
          <w:szCs w:val="22"/>
        </w:rPr>
        <w:t>.</w:t>
      </w:r>
    </w:p>
    <w:p w14:paraId="5C7541B4" w14:textId="23851FDC" w:rsidR="009B3B30" w:rsidRDefault="0055777F" w:rsidP="00B02396">
      <w:pPr>
        <w:widowControl w:val="0"/>
        <w:autoSpaceDE w:val="0"/>
        <w:autoSpaceDN w:val="0"/>
        <w:adjustRightInd w:val="0"/>
        <w:spacing w:line="360" w:lineRule="auto"/>
        <w:ind w:left="57" w:right="1418"/>
        <w:jc w:val="both"/>
        <w:rPr>
          <w:rFonts w:ascii="MS Mincho" w:eastAsia="MS Mincho" w:hAnsi="MS Mincho" w:cs="MS Mincho"/>
          <w:sz w:val="22"/>
          <w:szCs w:val="22"/>
        </w:rPr>
      </w:pPr>
      <w:r>
        <w:rPr>
          <w:rFonts w:ascii="MS Mincho" w:eastAsia="MS Mincho" w:hAnsi="MS Mincho" w:cs="MS Mincho"/>
          <w:sz w:val="22"/>
          <w:szCs w:val="22"/>
        </w:rPr>
        <w:t>***</w:t>
      </w:r>
    </w:p>
    <w:p w14:paraId="196672A1" w14:textId="6BC3E7F0" w:rsidR="009B3B30" w:rsidRDefault="009B3B30" w:rsidP="00B02396">
      <w:pPr>
        <w:widowControl w:val="0"/>
        <w:autoSpaceDE w:val="0"/>
        <w:autoSpaceDN w:val="0"/>
        <w:adjustRightInd w:val="0"/>
        <w:spacing w:line="360" w:lineRule="auto"/>
        <w:ind w:left="57" w:right="1418"/>
        <w:jc w:val="both"/>
        <w:rPr>
          <w:rFonts w:ascii="MS Mincho" w:eastAsia="MS Mincho" w:hAnsi="MS Mincho" w:cs="MS Mincho"/>
          <w:sz w:val="22"/>
          <w:szCs w:val="22"/>
        </w:rPr>
      </w:pPr>
      <w:r w:rsidRPr="0056268B">
        <w:rPr>
          <w:rFonts w:ascii="Arial" w:eastAsia="Calibri" w:hAnsi="Arial" w:cs="Arial"/>
          <w:sz w:val="22"/>
          <w:szCs w:val="22"/>
        </w:rPr>
        <w:t>Con espressa riserva di formulare in altro giudizio ulteriori domande compresa quella per richiedere il risarcimento di tutti i danni subiti dal ricorrente a causa del comportamento illegittimo delle Amministrazioni.</w:t>
      </w:r>
      <w:r w:rsidRPr="0056268B">
        <w:rPr>
          <w:rFonts w:ascii="MS Mincho" w:eastAsia="MS Mincho" w:hAnsi="MS Mincho" w:cs="MS Mincho"/>
          <w:sz w:val="22"/>
          <w:szCs w:val="22"/>
        </w:rPr>
        <w:t> </w:t>
      </w:r>
    </w:p>
    <w:p w14:paraId="0A4854F8" w14:textId="77777777" w:rsidR="009B3B30" w:rsidRPr="0056268B" w:rsidRDefault="009B3B30" w:rsidP="00B02396">
      <w:pPr>
        <w:tabs>
          <w:tab w:val="left" w:pos="720"/>
          <w:tab w:val="left" w:pos="900"/>
          <w:tab w:val="left" w:pos="1080"/>
        </w:tabs>
        <w:spacing w:line="360" w:lineRule="auto"/>
        <w:ind w:left="57" w:right="1418"/>
        <w:jc w:val="both"/>
        <w:rPr>
          <w:rFonts w:ascii="Arial" w:hAnsi="Arial" w:cs="Arial"/>
          <w:sz w:val="22"/>
          <w:szCs w:val="22"/>
        </w:rPr>
      </w:pPr>
      <w:r w:rsidRPr="0056268B">
        <w:rPr>
          <w:rFonts w:ascii="Arial" w:hAnsi="Arial" w:cs="Arial"/>
          <w:sz w:val="22"/>
          <w:szCs w:val="22"/>
        </w:rPr>
        <w:t>Si producono i seguenti documenti:</w:t>
      </w:r>
    </w:p>
    <w:p w14:paraId="13F076B4" w14:textId="53253F1D" w:rsidR="009B3B30" w:rsidRPr="0056268B" w:rsidRDefault="009B3B30" w:rsidP="00B02396">
      <w:pPr>
        <w:pStyle w:val="Testodelblocco"/>
        <w:numPr>
          <w:ilvl w:val="0"/>
          <w:numId w:val="10"/>
        </w:numPr>
        <w:tabs>
          <w:tab w:val="clear" w:pos="927"/>
          <w:tab w:val="clear" w:pos="1080"/>
          <w:tab w:val="num" w:pos="1069"/>
        </w:tabs>
        <w:ind w:left="57" w:right="1418"/>
        <w:rPr>
          <w:rFonts w:ascii="Arial" w:hAnsi="Arial" w:cs="Arial"/>
          <w:sz w:val="22"/>
          <w:szCs w:val="22"/>
        </w:rPr>
      </w:pPr>
      <w:r>
        <w:rPr>
          <w:rFonts w:ascii="Arial" w:hAnsi="Arial" w:cs="Arial"/>
          <w:sz w:val="22"/>
          <w:szCs w:val="22"/>
        </w:rPr>
        <w:t>dichiarazione di conseguimento titolo abilitante PAS con esami superati</w:t>
      </w:r>
      <w:r w:rsidRPr="0056268B">
        <w:rPr>
          <w:rFonts w:ascii="Arial" w:hAnsi="Arial" w:cs="Arial"/>
          <w:sz w:val="22"/>
          <w:szCs w:val="22"/>
        </w:rPr>
        <w:t>;</w:t>
      </w:r>
    </w:p>
    <w:p w14:paraId="0B068B3F" w14:textId="2A63A3AF" w:rsidR="009B3B30" w:rsidRPr="00EB1CFC" w:rsidRDefault="00373F45" w:rsidP="00B02396">
      <w:pPr>
        <w:pStyle w:val="Testodelblocco"/>
        <w:numPr>
          <w:ilvl w:val="0"/>
          <w:numId w:val="10"/>
        </w:numPr>
        <w:tabs>
          <w:tab w:val="clear" w:pos="927"/>
          <w:tab w:val="clear" w:pos="1080"/>
          <w:tab w:val="num" w:pos="1069"/>
        </w:tabs>
        <w:ind w:left="57" w:right="1418"/>
        <w:rPr>
          <w:rFonts w:ascii="Arial" w:hAnsi="Arial" w:cs="Arial"/>
          <w:sz w:val="22"/>
          <w:szCs w:val="22"/>
        </w:rPr>
      </w:pPr>
      <w:r>
        <w:rPr>
          <w:rFonts w:ascii="Arial" w:hAnsi="Arial" w:cs="Arial"/>
          <w:sz w:val="22"/>
          <w:szCs w:val="22"/>
        </w:rPr>
        <w:t>dichiarazione di conseguimento laurea con esami sostenuti</w:t>
      </w:r>
      <w:r w:rsidR="009B3B30">
        <w:rPr>
          <w:rFonts w:ascii="Arial" w:hAnsi="Arial" w:cs="Arial"/>
          <w:sz w:val="22"/>
          <w:szCs w:val="22"/>
        </w:rPr>
        <w:t>;</w:t>
      </w:r>
    </w:p>
    <w:p w14:paraId="2EEB72EC" w14:textId="7DB0DDDC" w:rsidR="009B3B30" w:rsidRPr="009B3B30" w:rsidRDefault="00373F45" w:rsidP="00B02396">
      <w:pPr>
        <w:pStyle w:val="Testodelblocco"/>
        <w:numPr>
          <w:ilvl w:val="0"/>
          <w:numId w:val="10"/>
        </w:numPr>
        <w:tabs>
          <w:tab w:val="clear" w:pos="927"/>
          <w:tab w:val="clear" w:pos="1080"/>
          <w:tab w:val="num" w:pos="1069"/>
        </w:tabs>
        <w:ind w:left="57" w:right="1418"/>
        <w:rPr>
          <w:rFonts w:ascii="Arial" w:hAnsi="Arial" w:cs="Arial"/>
          <w:sz w:val="22"/>
          <w:szCs w:val="22"/>
        </w:rPr>
      </w:pPr>
      <w:r>
        <w:rPr>
          <w:rFonts w:ascii="Arial" w:hAnsi="Arial" w:cs="Arial"/>
          <w:sz w:val="22"/>
          <w:szCs w:val="22"/>
        </w:rPr>
        <w:t>elenco titoli di servizio</w:t>
      </w:r>
      <w:r w:rsidR="009B3B30">
        <w:rPr>
          <w:rFonts w:ascii="Arial" w:hAnsi="Arial" w:cs="Arial"/>
          <w:sz w:val="22"/>
          <w:szCs w:val="22"/>
        </w:rPr>
        <w:t>;</w:t>
      </w:r>
    </w:p>
    <w:p w14:paraId="5CAD4B5B" w14:textId="7F30CFE6" w:rsidR="004F0729" w:rsidRPr="004F0729" w:rsidRDefault="004F0729" w:rsidP="00B02396">
      <w:pPr>
        <w:pStyle w:val="Testodelblocco"/>
        <w:numPr>
          <w:ilvl w:val="0"/>
          <w:numId w:val="10"/>
        </w:numPr>
        <w:tabs>
          <w:tab w:val="clear" w:pos="927"/>
          <w:tab w:val="clear" w:pos="1080"/>
          <w:tab w:val="num" w:pos="1069"/>
        </w:tabs>
        <w:ind w:left="57" w:right="1418"/>
        <w:rPr>
          <w:rFonts w:ascii="Arial" w:hAnsi="Arial" w:cs="Arial"/>
          <w:sz w:val="22"/>
          <w:szCs w:val="22"/>
        </w:rPr>
      </w:pPr>
      <w:r>
        <w:rPr>
          <w:rFonts w:ascii="Arial" w:hAnsi="Arial" w:cs="Arial"/>
          <w:sz w:val="22"/>
          <w:szCs w:val="22"/>
        </w:rPr>
        <w:t>ordinanza Consiglio di Stato n. 5659/2015;</w:t>
      </w:r>
    </w:p>
    <w:p w14:paraId="151897AD" w14:textId="6A7E48E2" w:rsidR="009B3B30" w:rsidRPr="0056268B" w:rsidRDefault="009B3B30" w:rsidP="00B02396">
      <w:pPr>
        <w:pStyle w:val="Testodelblocco"/>
        <w:numPr>
          <w:ilvl w:val="0"/>
          <w:numId w:val="10"/>
        </w:numPr>
        <w:tabs>
          <w:tab w:val="clear" w:pos="927"/>
          <w:tab w:val="clear" w:pos="1080"/>
          <w:tab w:val="num" w:pos="1069"/>
        </w:tabs>
        <w:ind w:left="57" w:right="1418"/>
        <w:rPr>
          <w:rFonts w:ascii="Arial" w:hAnsi="Arial" w:cs="Arial"/>
          <w:sz w:val="22"/>
          <w:szCs w:val="22"/>
        </w:rPr>
      </w:pPr>
      <w:r w:rsidRPr="0056268B">
        <w:rPr>
          <w:rFonts w:ascii="Arial" w:eastAsia="Calibri" w:hAnsi="Arial" w:cs="Arial"/>
          <w:sz w:val="22"/>
          <w:szCs w:val="22"/>
          <w:lang w:eastAsia="en-US"/>
        </w:rPr>
        <w:t xml:space="preserve">ordinanza </w:t>
      </w:r>
      <w:r w:rsidR="004F0729">
        <w:rPr>
          <w:rFonts w:ascii="Arial" w:eastAsia="Calibri" w:hAnsi="Arial" w:cs="Arial"/>
          <w:sz w:val="22"/>
          <w:szCs w:val="22"/>
          <w:lang w:eastAsia="en-US"/>
        </w:rPr>
        <w:t xml:space="preserve">RGL n. 579/2015 del </w:t>
      </w:r>
      <w:r w:rsidRPr="0056268B">
        <w:rPr>
          <w:rFonts w:ascii="Arial" w:eastAsia="Calibri" w:hAnsi="Arial" w:cs="Arial"/>
          <w:sz w:val="22"/>
          <w:szCs w:val="22"/>
          <w:lang w:eastAsia="en-US"/>
        </w:rPr>
        <w:t xml:space="preserve">Tribunale di </w:t>
      </w:r>
      <w:r w:rsidR="004F0729">
        <w:rPr>
          <w:rFonts w:ascii="Arial" w:eastAsia="Calibri" w:hAnsi="Arial" w:cs="Arial"/>
          <w:sz w:val="22"/>
          <w:szCs w:val="22"/>
          <w:lang w:eastAsia="en-US"/>
        </w:rPr>
        <w:t>Pordenone</w:t>
      </w:r>
      <w:r w:rsidRPr="0056268B">
        <w:rPr>
          <w:rFonts w:ascii="Arial" w:eastAsia="Calibri" w:hAnsi="Arial" w:cs="Arial"/>
          <w:sz w:val="22"/>
          <w:szCs w:val="22"/>
          <w:lang w:eastAsia="en-US"/>
        </w:rPr>
        <w:t xml:space="preserve"> – sez.</w:t>
      </w:r>
      <w:r>
        <w:rPr>
          <w:rFonts w:ascii="Arial" w:eastAsia="Calibri" w:hAnsi="Arial" w:cs="Arial"/>
          <w:sz w:val="22"/>
          <w:szCs w:val="22"/>
          <w:lang w:eastAsia="en-US"/>
        </w:rPr>
        <w:t xml:space="preserve"> L</w:t>
      </w:r>
      <w:r w:rsidRPr="0056268B">
        <w:rPr>
          <w:rFonts w:ascii="Arial" w:eastAsia="Calibri" w:hAnsi="Arial" w:cs="Arial"/>
          <w:sz w:val="22"/>
          <w:szCs w:val="22"/>
          <w:lang w:eastAsia="en-US"/>
        </w:rPr>
        <w:t>avoro;</w:t>
      </w:r>
    </w:p>
    <w:p w14:paraId="6B7F8CA1" w14:textId="053C4147" w:rsidR="009B3B30" w:rsidRDefault="009B3B30" w:rsidP="00B02396">
      <w:pPr>
        <w:pStyle w:val="Testodelblocco"/>
        <w:numPr>
          <w:ilvl w:val="0"/>
          <w:numId w:val="10"/>
        </w:numPr>
        <w:tabs>
          <w:tab w:val="clear" w:pos="927"/>
          <w:tab w:val="clear" w:pos="1080"/>
          <w:tab w:val="num" w:pos="1069"/>
        </w:tabs>
        <w:ind w:left="57" w:right="1418"/>
        <w:rPr>
          <w:rFonts w:ascii="Arial" w:hAnsi="Arial" w:cs="Arial"/>
          <w:sz w:val="22"/>
          <w:szCs w:val="22"/>
        </w:rPr>
      </w:pPr>
      <w:r w:rsidRPr="0056268B">
        <w:rPr>
          <w:rFonts w:ascii="Arial" w:hAnsi="Arial" w:cs="Arial"/>
          <w:sz w:val="22"/>
          <w:szCs w:val="22"/>
        </w:rPr>
        <w:t xml:space="preserve">URP del Miur che considera il </w:t>
      </w:r>
      <w:r w:rsidR="004F0729">
        <w:rPr>
          <w:rFonts w:ascii="Arial" w:hAnsi="Arial" w:cs="Arial"/>
          <w:sz w:val="22"/>
          <w:szCs w:val="22"/>
        </w:rPr>
        <w:t>PAS</w:t>
      </w:r>
      <w:r>
        <w:rPr>
          <w:rFonts w:ascii="Arial" w:hAnsi="Arial" w:cs="Arial"/>
          <w:sz w:val="22"/>
          <w:szCs w:val="22"/>
        </w:rPr>
        <w:t xml:space="preserve"> titolo abilitante.</w:t>
      </w:r>
    </w:p>
    <w:p w14:paraId="1742F2F4" w14:textId="77777777" w:rsidR="009B3B30" w:rsidRPr="00FC6CC6" w:rsidRDefault="009B3B30" w:rsidP="00B02396">
      <w:pPr>
        <w:pStyle w:val="Testodelblocco"/>
        <w:tabs>
          <w:tab w:val="clear" w:pos="1080"/>
        </w:tabs>
        <w:ind w:left="57" w:right="1418"/>
        <w:rPr>
          <w:rFonts w:ascii="Arial" w:hAnsi="Arial" w:cs="Arial"/>
          <w:sz w:val="22"/>
          <w:szCs w:val="22"/>
        </w:rPr>
      </w:pPr>
    </w:p>
    <w:p w14:paraId="7E6F34DB" w14:textId="77777777" w:rsidR="009B3B30" w:rsidRPr="0056268B" w:rsidRDefault="009B3B30" w:rsidP="00B02396">
      <w:pPr>
        <w:pStyle w:val="Testodelblocco"/>
        <w:tabs>
          <w:tab w:val="clear" w:pos="1080"/>
          <w:tab w:val="num" w:pos="1069"/>
        </w:tabs>
        <w:ind w:left="57" w:right="1418"/>
        <w:rPr>
          <w:rFonts w:ascii="Arial" w:hAnsi="Arial" w:cs="Arial"/>
          <w:sz w:val="22"/>
          <w:szCs w:val="22"/>
        </w:rPr>
      </w:pPr>
      <w:r w:rsidRPr="0056268B">
        <w:rPr>
          <w:rFonts w:ascii="Arial" w:hAnsi="Arial" w:cs="Arial"/>
          <w:sz w:val="22"/>
          <w:szCs w:val="22"/>
        </w:rPr>
        <w:t xml:space="preserve">Salerno, lì </w:t>
      </w:r>
      <w:r>
        <w:rPr>
          <w:rFonts w:ascii="Arial" w:hAnsi="Arial" w:cs="Arial"/>
          <w:sz w:val="22"/>
          <w:szCs w:val="22"/>
        </w:rPr>
        <w:t>12.02.2016</w:t>
      </w:r>
    </w:p>
    <w:p w14:paraId="0B4BBAEF" w14:textId="77777777" w:rsidR="009B3B30" w:rsidRPr="0056268B" w:rsidRDefault="009B3B30" w:rsidP="00B02396">
      <w:pPr>
        <w:pStyle w:val="Testodelblocco"/>
        <w:tabs>
          <w:tab w:val="clear" w:pos="1080"/>
          <w:tab w:val="num" w:pos="1069"/>
        </w:tabs>
        <w:ind w:left="57" w:right="1418"/>
        <w:jc w:val="right"/>
        <w:rPr>
          <w:rFonts w:ascii="Arial" w:hAnsi="Arial" w:cs="Arial"/>
          <w:sz w:val="22"/>
          <w:szCs w:val="22"/>
        </w:rPr>
      </w:pPr>
      <w:r w:rsidRPr="0056268B">
        <w:rPr>
          <w:rFonts w:ascii="Arial" w:hAnsi="Arial" w:cs="Arial"/>
          <w:sz w:val="22"/>
          <w:szCs w:val="22"/>
        </w:rPr>
        <w:t>Avv. Maddalena Sisinni</w:t>
      </w:r>
    </w:p>
    <w:p w14:paraId="734F2296" w14:textId="77777777" w:rsidR="009B3B30" w:rsidRPr="0056268B" w:rsidRDefault="009B3B30" w:rsidP="00B02396">
      <w:pPr>
        <w:pStyle w:val="Testodelblocco"/>
        <w:tabs>
          <w:tab w:val="clear" w:pos="1080"/>
          <w:tab w:val="num" w:pos="1069"/>
        </w:tabs>
        <w:ind w:left="57" w:right="1418"/>
        <w:rPr>
          <w:rFonts w:ascii="Arial" w:hAnsi="Arial" w:cs="Arial"/>
          <w:sz w:val="22"/>
          <w:szCs w:val="22"/>
        </w:rPr>
      </w:pPr>
    </w:p>
    <w:p w14:paraId="1F5D832D" w14:textId="6BE0B12E" w:rsidR="009B3B30" w:rsidRPr="00B67D2D" w:rsidRDefault="009B3B30" w:rsidP="00B02396">
      <w:pPr>
        <w:pStyle w:val="Testodelblocco"/>
        <w:tabs>
          <w:tab w:val="clear" w:pos="1080"/>
          <w:tab w:val="num" w:pos="1069"/>
        </w:tabs>
        <w:ind w:left="57" w:right="1418"/>
        <w:jc w:val="right"/>
        <w:rPr>
          <w:rFonts w:ascii="Arial" w:hAnsi="Arial" w:cs="Arial"/>
          <w:sz w:val="22"/>
          <w:szCs w:val="22"/>
        </w:rPr>
      </w:pPr>
      <w:r w:rsidRPr="0056268B">
        <w:rPr>
          <w:rFonts w:ascii="Arial" w:hAnsi="Arial" w:cs="Arial"/>
          <w:sz w:val="22"/>
          <w:szCs w:val="22"/>
        </w:rPr>
        <w:t>Avv. Giuliana Ala</w:t>
      </w:r>
      <w:r w:rsidR="0055777F">
        <w:rPr>
          <w:rFonts w:ascii="Arial" w:hAnsi="Arial" w:cs="Arial"/>
          <w:sz w:val="22"/>
          <w:szCs w:val="22"/>
        </w:rPr>
        <w:t>ti</w:t>
      </w:r>
    </w:p>
    <w:p w14:paraId="7354B8B9" w14:textId="77777777" w:rsidR="00B67D2D" w:rsidRDefault="00B67D2D" w:rsidP="00B02396">
      <w:pPr>
        <w:pStyle w:val="Paragrafoelenco"/>
        <w:autoSpaceDE w:val="0"/>
        <w:autoSpaceDN w:val="0"/>
        <w:adjustRightInd w:val="0"/>
        <w:spacing w:line="360" w:lineRule="auto"/>
        <w:ind w:left="57" w:right="1418"/>
        <w:jc w:val="both"/>
        <w:rPr>
          <w:rFonts w:ascii="Arial" w:hAnsi="Arial" w:cs="Arial"/>
          <w:sz w:val="22"/>
          <w:szCs w:val="22"/>
        </w:rPr>
      </w:pPr>
    </w:p>
    <w:p w14:paraId="73A0FA1C" w14:textId="77777777" w:rsidR="00373F45" w:rsidRDefault="00373F45" w:rsidP="00B02396">
      <w:pPr>
        <w:widowControl w:val="0"/>
        <w:autoSpaceDE w:val="0"/>
        <w:autoSpaceDN w:val="0"/>
        <w:adjustRightInd w:val="0"/>
        <w:spacing w:after="240" w:line="360" w:lineRule="auto"/>
        <w:ind w:left="57" w:right="1418"/>
        <w:jc w:val="both"/>
        <w:rPr>
          <w:rFonts w:ascii="Arial" w:eastAsia="Calibri" w:hAnsi="Arial" w:cs="Arial"/>
          <w:b/>
          <w:bCs/>
          <w:sz w:val="22"/>
          <w:szCs w:val="22"/>
        </w:rPr>
      </w:pPr>
    </w:p>
    <w:p w14:paraId="01A802A8" w14:textId="77777777" w:rsidR="00373F45" w:rsidRDefault="00373F45" w:rsidP="00B02396">
      <w:pPr>
        <w:widowControl w:val="0"/>
        <w:autoSpaceDE w:val="0"/>
        <w:autoSpaceDN w:val="0"/>
        <w:adjustRightInd w:val="0"/>
        <w:spacing w:after="240" w:line="360" w:lineRule="auto"/>
        <w:ind w:left="57" w:right="1418"/>
        <w:jc w:val="both"/>
        <w:rPr>
          <w:rFonts w:ascii="Arial" w:eastAsia="Calibri" w:hAnsi="Arial" w:cs="Arial"/>
          <w:b/>
          <w:bCs/>
          <w:sz w:val="22"/>
          <w:szCs w:val="22"/>
        </w:rPr>
      </w:pPr>
    </w:p>
    <w:p w14:paraId="257A8B86" w14:textId="77777777" w:rsidR="00373F45" w:rsidRDefault="00373F45" w:rsidP="00B02396">
      <w:pPr>
        <w:widowControl w:val="0"/>
        <w:autoSpaceDE w:val="0"/>
        <w:autoSpaceDN w:val="0"/>
        <w:adjustRightInd w:val="0"/>
        <w:spacing w:after="240" w:line="360" w:lineRule="auto"/>
        <w:ind w:left="57" w:right="1418"/>
        <w:jc w:val="both"/>
        <w:rPr>
          <w:rFonts w:ascii="Arial" w:eastAsia="Calibri" w:hAnsi="Arial" w:cs="Arial"/>
          <w:b/>
          <w:bCs/>
          <w:sz w:val="22"/>
          <w:szCs w:val="22"/>
        </w:rPr>
      </w:pPr>
    </w:p>
    <w:p w14:paraId="694758C3" w14:textId="77777777" w:rsidR="00373F45" w:rsidRDefault="00373F45" w:rsidP="00B02396">
      <w:pPr>
        <w:widowControl w:val="0"/>
        <w:autoSpaceDE w:val="0"/>
        <w:autoSpaceDN w:val="0"/>
        <w:adjustRightInd w:val="0"/>
        <w:spacing w:after="240" w:line="360" w:lineRule="auto"/>
        <w:ind w:left="57" w:right="1418"/>
        <w:jc w:val="both"/>
        <w:rPr>
          <w:rFonts w:ascii="Arial" w:eastAsia="Calibri" w:hAnsi="Arial" w:cs="Arial"/>
          <w:b/>
          <w:bCs/>
          <w:sz w:val="22"/>
          <w:szCs w:val="22"/>
        </w:rPr>
      </w:pPr>
    </w:p>
    <w:p w14:paraId="7125284F" w14:textId="77777777" w:rsidR="00373F45" w:rsidRDefault="00373F45" w:rsidP="00B02396">
      <w:pPr>
        <w:widowControl w:val="0"/>
        <w:autoSpaceDE w:val="0"/>
        <w:autoSpaceDN w:val="0"/>
        <w:adjustRightInd w:val="0"/>
        <w:spacing w:after="240" w:line="360" w:lineRule="auto"/>
        <w:ind w:left="57" w:right="1418"/>
        <w:jc w:val="both"/>
        <w:rPr>
          <w:rFonts w:ascii="Arial" w:eastAsia="Calibri" w:hAnsi="Arial" w:cs="Arial"/>
          <w:b/>
          <w:bCs/>
          <w:sz w:val="22"/>
          <w:szCs w:val="22"/>
        </w:rPr>
      </w:pPr>
    </w:p>
    <w:p w14:paraId="398863C6" w14:textId="77777777" w:rsidR="00373F45" w:rsidRDefault="00373F45" w:rsidP="00B02396">
      <w:pPr>
        <w:widowControl w:val="0"/>
        <w:autoSpaceDE w:val="0"/>
        <w:autoSpaceDN w:val="0"/>
        <w:adjustRightInd w:val="0"/>
        <w:spacing w:after="240" w:line="360" w:lineRule="auto"/>
        <w:ind w:left="57" w:right="1418"/>
        <w:jc w:val="both"/>
        <w:rPr>
          <w:rFonts w:ascii="Arial" w:eastAsia="Calibri" w:hAnsi="Arial" w:cs="Arial"/>
          <w:b/>
          <w:bCs/>
          <w:sz w:val="22"/>
          <w:szCs w:val="22"/>
        </w:rPr>
      </w:pPr>
    </w:p>
    <w:p w14:paraId="40686D2F" w14:textId="77777777" w:rsidR="00373F45" w:rsidRDefault="00373F45" w:rsidP="00B02396">
      <w:pPr>
        <w:widowControl w:val="0"/>
        <w:autoSpaceDE w:val="0"/>
        <w:autoSpaceDN w:val="0"/>
        <w:adjustRightInd w:val="0"/>
        <w:spacing w:after="240" w:line="360" w:lineRule="auto"/>
        <w:ind w:left="57" w:right="1418"/>
        <w:jc w:val="both"/>
        <w:rPr>
          <w:rFonts w:ascii="Arial" w:eastAsia="Calibri" w:hAnsi="Arial" w:cs="Arial"/>
          <w:b/>
          <w:bCs/>
          <w:sz w:val="22"/>
          <w:szCs w:val="22"/>
        </w:rPr>
      </w:pPr>
    </w:p>
    <w:p w14:paraId="01317E24" w14:textId="77777777" w:rsidR="00373F45" w:rsidRDefault="00373F45" w:rsidP="00B02396">
      <w:pPr>
        <w:widowControl w:val="0"/>
        <w:autoSpaceDE w:val="0"/>
        <w:autoSpaceDN w:val="0"/>
        <w:adjustRightInd w:val="0"/>
        <w:spacing w:after="240" w:line="360" w:lineRule="auto"/>
        <w:ind w:left="57" w:right="1418"/>
        <w:jc w:val="both"/>
        <w:rPr>
          <w:rFonts w:ascii="Arial" w:eastAsia="Calibri" w:hAnsi="Arial" w:cs="Arial"/>
          <w:b/>
          <w:bCs/>
          <w:sz w:val="22"/>
          <w:szCs w:val="22"/>
        </w:rPr>
      </w:pPr>
    </w:p>
    <w:p w14:paraId="0CD00A60" w14:textId="027FB459" w:rsidR="00221D3A" w:rsidRPr="00221D3A" w:rsidRDefault="00221D3A" w:rsidP="00B02396">
      <w:pPr>
        <w:widowControl w:val="0"/>
        <w:autoSpaceDE w:val="0"/>
        <w:autoSpaceDN w:val="0"/>
        <w:adjustRightInd w:val="0"/>
        <w:spacing w:after="240" w:line="360" w:lineRule="auto"/>
        <w:ind w:left="57" w:right="1418"/>
        <w:jc w:val="both"/>
        <w:rPr>
          <w:rFonts w:ascii="Arial" w:eastAsia="Calibri" w:hAnsi="Arial" w:cs="Arial"/>
          <w:sz w:val="22"/>
          <w:szCs w:val="22"/>
        </w:rPr>
      </w:pPr>
      <w:r w:rsidRPr="00221D3A">
        <w:rPr>
          <w:rFonts w:ascii="Arial" w:eastAsia="Calibri" w:hAnsi="Arial" w:cs="Arial"/>
          <w:b/>
          <w:bCs/>
          <w:sz w:val="22"/>
          <w:szCs w:val="22"/>
        </w:rPr>
        <w:lastRenderedPageBreak/>
        <w:t>ISTANZA PER LA DETERMINAZIONE DELLE MODALITA’ DELLA NOTIFICAZIONE NEI CONFRONTI DEI LITISCONSORTI (EX ART. 151 C.P.C.)</w:t>
      </w:r>
    </w:p>
    <w:p w14:paraId="242AAFF6" w14:textId="10F970A2" w:rsidR="00221D3A" w:rsidRPr="00E94085" w:rsidRDefault="00221D3A" w:rsidP="00B02396">
      <w:pPr>
        <w:widowControl w:val="0"/>
        <w:autoSpaceDE w:val="0"/>
        <w:autoSpaceDN w:val="0"/>
        <w:adjustRightInd w:val="0"/>
        <w:spacing w:after="240" w:line="360" w:lineRule="auto"/>
        <w:ind w:left="57" w:right="1418"/>
        <w:jc w:val="both"/>
        <w:rPr>
          <w:rFonts w:ascii="Arial" w:eastAsia="Calibri" w:hAnsi="Arial" w:cs="Arial"/>
          <w:sz w:val="22"/>
          <w:szCs w:val="22"/>
        </w:rPr>
      </w:pPr>
      <w:r>
        <w:rPr>
          <w:rFonts w:ascii="Arial" w:eastAsia="Calibri" w:hAnsi="Arial" w:cs="Arial"/>
          <w:sz w:val="22"/>
          <w:szCs w:val="22"/>
        </w:rPr>
        <w:t>I sottoscritti avv. Maddalena Sisinni e avv.</w:t>
      </w:r>
      <w:r w:rsidRPr="00221D3A">
        <w:rPr>
          <w:rFonts w:ascii="Arial" w:eastAsia="Calibri" w:hAnsi="Arial" w:cs="Arial"/>
          <w:sz w:val="22"/>
          <w:szCs w:val="22"/>
        </w:rPr>
        <w:t xml:space="preserve"> </w:t>
      </w:r>
      <w:r>
        <w:rPr>
          <w:rFonts w:ascii="Arial" w:eastAsia="Calibri" w:hAnsi="Arial" w:cs="Arial"/>
          <w:sz w:val="22"/>
          <w:szCs w:val="22"/>
        </w:rPr>
        <w:t xml:space="preserve">Giuliana Alati </w:t>
      </w:r>
      <w:r w:rsidRPr="00221D3A">
        <w:rPr>
          <w:rFonts w:ascii="Arial" w:eastAsia="Calibri" w:hAnsi="Arial" w:cs="Arial"/>
          <w:sz w:val="22"/>
          <w:szCs w:val="22"/>
        </w:rPr>
        <w:t>q</w:t>
      </w:r>
      <w:r>
        <w:rPr>
          <w:rFonts w:ascii="Arial" w:eastAsia="Calibri" w:hAnsi="Arial" w:cs="Arial"/>
          <w:sz w:val="22"/>
          <w:szCs w:val="22"/>
        </w:rPr>
        <w:t>uali procuratori e difensori</w:t>
      </w:r>
      <w:r w:rsidRPr="00221D3A">
        <w:rPr>
          <w:rFonts w:ascii="Arial" w:eastAsia="Calibri" w:hAnsi="Arial" w:cs="Arial"/>
          <w:sz w:val="22"/>
          <w:szCs w:val="22"/>
        </w:rPr>
        <w:t xml:space="preserve"> de</w:t>
      </w:r>
      <w:r w:rsidR="00373F45">
        <w:rPr>
          <w:rFonts w:ascii="Arial" w:eastAsia="Calibri" w:hAnsi="Arial" w:cs="Arial"/>
          <w:sz w:val="22"/>
          <w:szCs w:val="22"/>
        </w:rPr>
        <w:t>l</w:t>
      </w:r>
      <w:r w:rsidRPr="00221D3A">
        <w:rPr>
          <w:rFonts w:ascii="Arial" w:eastAsia="Calibri" w:hAnsi="Arial" w:cs="Arial"/>
          <w:sz w:val="22"/>
          <w:szCs w:val="22"/>
        </w:rPr>
        <w:t>l</w:t>
      </w:r>
      <w:r w:rsidR="00373F45">
        <w:rPr>
          <w:rFonts w:ascii="Arial" w:eastAsia="Calibri" w:hAnsi="Arial" w:cs="Arial"/>
          <w:sz w:val="22"/>
          <w:szCs w:val="22"/>
        </w:rPr>
        <w:t>a</w:t>
      </w:r>
      <w:r w:rsidR="00FC6CC6">
        <w:rPr>
          <w:rFonts w:ascii="Arial" w:eastAsia="Calibri" w:hAnsi="Arial" w:cs="Arial"/>
          <w:sz w:val="22"/>
          <w:szCs w:val="22"/>
        </w:rPr>
        <w:t xml:space="preserve"> sig. </w:t>
      </w:r>
      <w:r w:rsidR="00373F45">
        <w:rPr>
          <w:rFonts w:ascii="Arial" w:eastAsia="Calibri" w:hAnsi="Arial" w:cs="Arial"/>
          <w:sz w:val="22"/>
          <w:szCs w:val="22"/>
        </w:rPr>
        <w:t>ra Lucia Procida</w:t>
      </w:r>
      <w:r w:rsidR="00FC6CC6">
        <w:rPr>
          <w:rFonts w:ascii="Arial" w:eastAsia="Calibri" w:hAnsi="Arial" w:cs="Arial"/>
          <w:sz w:val="22"/>
          <w:szCs w:val="22"/>
        </w:rPr>
        <w:t>,</w:t>
      </w:r>
      <w:r w:rsidRPr="00221D3A">
        <w:rPr>
          <w:rFonts w:ascii="Arial" w:eastAsia="Calibri" w:hAnsi="Arial" w:cs="Arial"/>
          <w:sz w:val="22"/>
          <w:szCs w:val="22"/>
        </w:rPr>
        <w:t xml:space="preserve"> ricorrente giusta </w:t>
      </w:r>
      <w:r w:rsidRPr="00E94085">
        <w:rPr>
          <w:rFonts w:ascii="Arial" w:eastAsia="Calibri" w:hAnsi="Arial" w:cs="Arial"/>
          <w:sz w:val="22"/>
          <w:szCs w:val="22"/>
        </w:rPr>
        <w:t xml:space="preserve">procura a margine del presente ricorso, </w:t>
      </w:r>
    </w:p>
    <w:p w14:paraId="4DB487D8" w14:textId="77777777" w:rsidR="00E94085" w:rsidRPr="007F5A1A" w:rsidRDefault="00E94085" w:rsidP="00B02396">
      <w:pPr>
        <w:widowControl w:val="0"/>
        <w:autoSpaceDE w:val="0"/>
        <w:autoSpaceDN w:val="0"/>
        <w:adjustRightInd w:val="0"/>
        <w:spacing w:after="240" w:line="360" w:lineRule="auto"/>
        <w:ind w:left="57" w:right="1418"/>
        <w:jc w:val="both"/>
        <w:rPr>
          <w:rFonts w:ascii="Arial" w:eastAsia="Calibri" w:hAnsi="Arial" w:cs="Arial"/>
          <w:b/>
          <w:sz w:val="22"/>
          <w:szCs w:val="22"/>
        </w:rPr>
      </w:pPr>
      <w:r w:rsidRPr="007F5A1A">
        <w:rPr>
          <w:rFonts w:ascii="Arial" w:eastAsia="Calibri" w:hAnsi="Arial" w:cs="Arial"/>
          <w:b/>
          <w:sz w:val="22"/>
          <w:szCs w:val="22"/>
        </w:rPr>
        <w:t xml:space="preserve">PREMESSO CHE </w:t>
      </w:r>
    </w:p>
    <w:p w14:paraId="21CC4602" w14:textId="1D343915" w:rsidR="00E94085" w:rsidRPr="00E94085" w:rsidRDefault="00E94085" w:rsidP="00B02396">
      <w:pPr>
        <w:widowControl w:val="0"/>
        <w:autoSpaceDE w:val="0"/>
        <w:autoSpaceDN w:val="0"/>
        <w:adjustRightInd w:val="0"/>
        <w:spacing w:line="360" w:lineRule="auto"/>
        <w:ind w:left="57" w:right="1418"/>
        <w:jc w:val="both"/>
        <w:rPr>
          <w:rFonts w:ascii="Arial" w:eastAsia="Calibri" w:hAnsi="Arial" w:cs="Arial"/>
          <w:sz w:val="22"/>
          <w:szCs w:val="22"/>
        </w:rPr>
      </w:pPr>
      <w:r w:rsidRPr="00E94085">
        <w:rPr>
          <w:rFonts w:ascii="Arial" w:eastAsia="Calibri" w:hAnsi="Arial" w:cs="Arial"/>
          <w:sz w:val="22"/>
          <w:szCs w:val="22"/>
        </w:rPr>
        <w:t xml:space="preserve">- Il ricorso ha per oggetto </w:t>
      </w:r>
      <w:r w:rsidR="00FC6CC6">
        <w:rPr>
          <w:rFonts w:ascii="Arial" w:eastAsia="Calibri" w:hAnsi="Arial" w:cs="Arial"/>
          <w:sz w:val="22"/>
          <w:szCs w:val="22"/>
        </w:rPr>
        <w:t>l’accertamento del diritto de</w:t>
      </w:r>
      <w:r w:rsidR="00373F45">
        <w:rPr>
          <w:rFonts w:ascii="Arial" w:eastAsia="Calibri" w:hAnsi="Arial" w:cs="Arial"/>
          <w:sz w:val="22"/>
          <w:szCs w:val="22"/>
        </w:rPr>
        <w:t>lla</w:t>
      </w:r>
      <w:r w:rsidR="00FC6CC6">
        <w:rPr>
          <w:rFonts w:ascii="Arial" w:eastAsia="Calibri" w:hAnsi="Arial" w:cs="Arial"/>
          <w:sz w:val="22"/>
          <w:szCs w:val="22"/>
        </w:rPr>
        <w:t xml:space="preserve"> ricorrente</w:t>
      </w:r>
      <w:r w:rsidRPr="00E94085">
        <w:rPr>
          <w:rFonts w:ascii="Arial" w:eastAsia="Calibri" w:hAnsi="Arial" w:cs="Arial"/>
          <w:sz w:val="22"/>
          <w:szCs w:val="22"/>
        </w:rPr>
        <w:t xml:space="preserve"> alla presentazione della domanda e al successivo inserimento nelle vigenti graduatorie ad esaurimento della provincia di </w:t>
      </w:r>
      <w:r w:rsidR="00FC6CC6">
        <w:rPr>
          <w:rFonts w:ascii="Arial" w:eastAsia="Calibri" w:hAnsi="Arial" w:cs="Arial"/>
          <w:sz w:val="22"/>
          <w:szCs w:val="22"/>
        </w:rPr>
        <w:t>Salerno</w:t>
      </w:r>
      <w:r w:rsidRPr="00E94085">
        <w:rPr>
          <w:rFonts w:ascii="Arial" w:eastAsia="Calibri" w:hAnsi="Arial" w:cs="Arial"/>
          <w:sz w:val="22"/>
          <w:szCs w:val="22"/>
        </w:rPr>
        <w:t xml:space="preserve"> per le classi concorsuali </w:t>
      </w:r>
      <w:r w:rsidR="00373F45">
        <w:rPr>
          <w:rFonts w:ascii="Arial" w:eastAsia="Calibri" w:hAnsi="Arial" w:cs="Arial"/>
          <w:sz w:val="22"/>
          <w:szCs w:val="22"/>
        </w:rPr>
        <w:t>A047</w:t>
      </w:r>
      <w:r w:rsidR="004F0729">
        <w:rPr>
          <w:rFonts w:ascii="Arial" w:eastAsia="Calibri" w:hAnsi="Arial" w:cs="Arial"/>
          <w:sz w:val="22"/>
          <w:szCs w:val="22"/>
        </w:rPr>
        <w:t xml:space="preserve"> – </w:t>
      </w:r>
      <w:r w:rsidR="00373F45">
        <w:rPr>
          <w:rFonts w:ascii="Arial" w:eastAsia="Calibri" w:hAnsi="Arial" w:cs="Arial"/>
          <w:sz w:val="22"/>
          <w:szCs w:val="22"/>
        </w:rPr>
        <w:t>matematica</w:t>
      </w:r>
      <w:r w:rsidRPr="00E94085">
        <w:rPr>
          <w:rFonts w:ascii="Arial" w:eastAsia="Calibri" w:hAnsi="Arial" w:cs="Arial"/>
          <w:sz w:val="22"/>
          <w:szCs w:val="22"/>
        </w:rPr>
        <w:t xml:space="preserve">; </w:t>
      </w:r>
    </w:p>
    <w:p w14:paraId="2D7357E9" w14:textId="77777777" w:rsidR="00BA5AA2" w:rsidRDefault="00E94085" w:rsidP="00B02396">
      <w:pPr>
        <w:widowControl w:val="0"/>
        <w:autoSpaceDE w:val="0"/>
        <w:autoSpaceDN w:val="0"/>
        <w:adjustRightInd w:val="0"/>
        <w:spacing w:line="360" w:lineRule="auto"/>
        <w:ind w:left="57" w:right="1418"/>
        <w:jc w:val="both"/>
        <w:rPr>
          <w:rFonts w:ascii="Arial" w:eastAsia="Calibri" w:hAnsi="Arial" w:cs="Arial"/>
          <w:sz w:val="22"/>
          <w:szCs w:val="22"/>
        </w:rPr>
      </w:pPr>
      <w:r w:rsidRPr="00E94085">
        <w:rPr>
          <w:rFonts w:ascii="Arial" w:eastAsia="Calibri" w:hAnsi="Arial" w:cs="Arial"/>
          <w:sz w:val="22"/>
          <w:szCs w:val="22"/>
        </w:rPr>
        <w:t xml:space="preserve">- L’art. 10, comma 5, della legge recante norme per la “Riforma del sistema nazionale di istruzione e formazione (...)”, in relazione al piano straordinario di immissione in ruolo di oltre 100.000 insegnanti, prevede la facoltà, per i docenti inseriti a pieno titolo nelle graduatorie, di esprimere l’ordine di preferenza tra tutti i 101 ambiti territoriali; </w:t>
      </w:r>
    </w:p>
    <w:p w14:paraId="47A6213C" w14:textId="77777777" w:rsidR="00BA5AA2" w:rsidRDefault="00BA5AA2" w:rsidP="00B02396">
      <w:pPr>
        <w:widowControl w:val="0"/>
        <w:autoSpaceDE w:val="0"/>
        <w:autoSpaceDN w:val="0"/>
        <w:adjustRightInd w:val="0"/>
        <w:spacing w:line="360" w:lineRule="auto"/>
        <w:ind w:left="57" w:right="1418"/>
        <w:jc w:val="both"/>
        <w:rPr>
          <w:rFonts w:ascii="MS Mincho" w:eastAsia="MS Mincho" w:hAnsi="MS Mincho" w:cs="MS Mincho"/>
          <w:sz w:val="22"/>
          <w:szCs w:val="22"/>
        </w:rPr>
      </w:pPr>
      <w:r>
        <w:rPr>
          <w:rFonts w:ascii="Arial" w:eastAsia="Calibri" w:hAnsi="Arial" w:cs="Arial"/>
          <w:sz w:val="22"/>
          <w:szCs w:val="22"/>
        </w:rPr>
        <w:t xml:space="preserve">- </w:t>
      </w:r>
      <w:r w:rsidR="00E94085" w:rsidRPr="00E94085">
        <w:rPr>
          <w:rFonts w:ascii="Arial" w:eastAsia="Calibri" w:hAnsi="Arial" w:cs="Arial"/>
          <w:sz w:val="22"/>
          <w:szCs w:val="22"/>
        </w:rPr>
        <w:t xml:space="preserve">Ciò implica che tutti i candidati attualmente inseriti nelle graduatorie ad esaurimento potranno concorrere all’assunzione in tutti gli ambiti territoriali, con conseguente potenziale interesse contrario di ciascuno di tali candidati all’ampliamento della platea dei soggetti beneficiari del piano di stabilizzazione; </w:t>
      </w:r>
    </w:p>
    <w:p w14:paraId="4713BA83" w14:textId="56C3A613" w:rsidR="00E94085" w:rsidRPr="00E94085" w:rsidRDefault="00BA5AA2" w:rsidP="00B02396">
      <w:pPr>
        <w:widowControl w:val="0"/>
        <w:autoSpaceDE w:val="0"/>
        <w:autoSpaceDN w:val="0"/>
        <w:adjustRightInd w:val="0"/>
        <w:spacing w:line="360" w:lineRule="auto"/>
        <w:ind w:left="57" w:right="1418"/>
        <w:jc w:val="both"/>
        <w:rPr>
          <w:rFonts w:ascii="Arial" w:eastAsia="Calibri" w:hAnsi="Arial" w:cs="Arial"/>
          <w:sz w:val="22"/>
          <w:szCs w:val="22"/>
        </w:rPr>
      </w:pPr>
      <w:r>
        <w:rPr>
          <w:rFonts w:ascii="MS Mincho" w:eastAsia="MS Mincho" w:hAnsi="MS Mincho" w:cs="MS Mincho"/>
          <w:sz w:val="22"/>
          <w:szCs w:val="22"/>
        </w:rPr>
        <w:t xml:space="preserve">- </w:t>
      </w:r>
      <w:r w:rsidR="00E94085" w:rsidRPr="00E94085">
        <w:rPr>
          <w:rFonts w:ascii="Arial" w:eastAsia="Calibri" w:hAnsi="Arial" w:cs="Arial"/>
          <w:sz w:val="22"/>
          <w:szCs w:val="22"/>
        </w:rPr>
        <w:t xml:space="preserve">Ai fini dell’integrale instaurazione del contraddittorio, il ricorso </w:t>
      </w:r>
      <w:r w:rsidR="00E94085" w:rsidRPr="007F5A1A">
        <w:rPr>
          <w:rFonts w:ascii="Arial" w:eastAsia="Calibri" w:hAnsi="Arial" w:cs="Arial"/>
          <w:i/>
          <w:sz w:val="22"/>
          <w:szCs w:val="22"/>
        </w:rPr>
        <w:t>ut supra</w:t>
      </w:r>
      <w:r w:rsidR="00E94085" w:rsidRPr="00E94085">
        <w:rPr>
          <w:rFonts w:ascii="Arial" w:eastAsia="Calibri" w:hAnsi="Arial" w:cs="Arial"/>
          <w:sz w:val="22"/>
          <w:szCs w:val="22"/>
        </w:rPr>
        <w:t xml:space="preserve"> deve essere notificato ai docenti potenzialmente controinteressati, ossia a tutti i docenti attualmente inseriti nelle graduatorie ad esaurimento definitive di tutti i 101 ambi</w:t>
      </w:r>
      <w:r w:rsidR="00FF2892">
        <w:rPr>
          <w:rFonts w:ascii="Arial" w:eastAsia="Calibri" w:hAnsi="Arial" w:cs="Arial"/>
          <w:sz w:val="22"/>
          <w:szCs w:val="22"/>
        </w:rPr>
        <w:t>ti territoriali italiani, per la classe</w:t>
      </w:r>
      <w:r w:rsidR="00E94085" w:rsidRPr="00E94085">
        <w:rPr>
          <w:rFonts w:ascii="Arial" w:eastAsia="Calibri" w:hAnsi="Arial" w:cs="Arial"/>
          <w:sz w:val="22"/>
          <w:szCs w:val="22"/>
        </w:rPr>
        <w:t xml:space="preserve"> di concorso Scuola </w:t>
      </w:r>
      <w:r w:rsidR="004F0729">
        <w:rPr>
          <w:rFonts w:ascii="Arial" w:eastAsia="Calibri" w:hAnsi="Arial" w:cs="Arial"/>
          <w:sz w:val="22"/>
          <w:szCs w:val="22"/>
        </w:rPr>
        <w:t xml:space="preserve">Secondaria di II grado </w:t>
      </w:r>
      <w:r w:rsidR="00373F45">
        <w:rPr>
          <w:rFonts w:ascii="Arial" w:eastAsia="Calibri" w:hAnsi="Arial" w:cs="Arial"/>
          <w:sz w:val="22"/>
          <w:szCs w:val="22"/>
        </w:rPr>
        <w:t>A047</w:t>
      </w:r>
      <w:r w:rsidR="004F0729" w:rsidRPr="00E94085">
        <w:rPr>
          <w:rFonts w:ascii="Arial" w:eastAsia="Calibri" w:hAnsi="Arial" w:cs="Arial"/>
          <w:sz w:val="22"/>
          <w:szCs w:val="22"/>
        </w:rPr>
        <w:t xml:space="preserve"> </w:t>
      </w:r>
      <w:r w:rsidR="00E94085" w:rsidRPr="00E94085">
        <w:rPr>
          <w:rFonts w:ascii="Arial" w:eastAsia="Calibri" w:hAnsi="Arial" w:cs="Arial"/>
          <w:sz w:val="22"/>
          <w:szCs w:val="22"/>
        </w:rPr>
        <w:t xml:space="preserve">vigenti per gli anni scolastici 2014/2017. </w:t>
      </w:r>
      <w:r w:rsidR="00E94085" w:rsidRPr="00E94085">
        <w:rPr>
          <w:rFonts w:ascii="MS Mincho" w:eastAsia="MS Mincho" w:hAnsi="MS Mincho" w:cs="MS Mincho"/>
          <w:sz w:val="22"/>
          <w:szCs w:val="22"/>
        </w:rPr>
        <w:t> </w:t>
      </w:r>
    </w:p>
    <w:p w14:paraId="6CD311D4" w14:textId="58AB1C7B" w:rsidR="00E94085" w:rsidRPr="007F5A1A" w:rsidRDefault="00E94085" w:rsidP="00B02396">
      <w:pPr>
        <w:widowControl w:val="0"/>
        <w:tabs>
          <w:tab w:val="left" w:pos="220"/>
          <w:tab w:val="left" w:pos="720"/>
        </w:tabs>
        <w:autoSpaceDE w:val="0"/>
        <w:autoSpaceDN w:val="0"/>
        <w:adjustRightInd w:val="0"/>
        <w:spacing w:line="360" w:lineRule="auto"/>
        <w:ind w:left="57" w:right="1418"/>
        <w:jc w:val="both"/>
        <w:rPr>
          <w:rFonts w:ascii="Arial" w:eastAsia="Calibri" w:hAnsi="Arial" w:cs="Arial"/>
          <w:b/>
          <w:sz w:val="22"/>
          <w:szCs w:val="22"/>
        </w:rPr>
      </w:pPr>
      <w:r w:rsidRPr="007F5A1A">
        <w:rPr>
          <w:rFonts w:ascii="Arial" w:eastAsia="Calibri" w:hAnsi="Arial" w:cs="Arial"/>
          <w:b/>
          <w:sz w:val="22"/>
          <w:szCs w:val="22"/>
        </w:rPr>
        <w:t xml:space="preserve">RILEVATO CHE </w:t>
      </w:r>
      <w:r w:rsidRPr="007F5A1A">
        <w:rPr>
          <w:rFonts w:ascii="MS Mincho" w:eastAsia="MS Mincho" w:hAnsi="MS Mincho" w:cs="MS Mincho"/>
          <w:b/>
          <w:sz w:val="22"/>
          <w:szCs w:val="22"/>
        </w:rPr>
        <w:t> </w:t>
      </w:r>
    </w:p>
    <w:p w14:paraId="785FDB5D" w14:textId="1D7DF1BF" w:rsidR="00E94085" w:rsidRPr="00E94085" w:rsidRDefault="00E94085" w:rsidP="00B02396">
      <w:pPr>
        <w:widowControl w:val="0"/>
        <w:numPr>
          <w:ilvl w:val="0"/>
          <w:numId w:val="14"/>
        </w:numPr>
        <w:tabs>
          <w:tab w:val="left" w:pos="220"/>
          <w:tab w:val="left" w:pos="720"/>
        </w:tabs>
        <w:autoSpaceDE w:val="0"/>
        <w:autoSpaceDN w:val="0"/>
        <w:adjustRightInd w:val="0"/>
        <w:spacing w:line="360" w:lineRule="auto"/>
        <w:ind w:left="57" w:right="1418" w:hanging="720"/>
        <w:jc w:val="both"/>
        <w:rPr>
          <w:rFonts w:ascii="Arial" w:eastAsia="Calibri" w:hAnsi="Arial" w:cs="Arial"/>
          <w:sz w:val="22"/>
          <w:szCs w:val="22"/>
        </w:rPr>
      </w:pPr>
      <w:r w:rsidRPr="00E94085">
        <w:rPr>
          <w:rFonts w:ascii="Arial" w:eastAsia="Calibri" w:hAnsi="Arial" w:cs="Arial"/>
          <w:sz w:val="22"/>
          <w:szCs w:val="22"/>
        </w:rPr>
        <w:t xml:space="preserve">La notifica del ricorso nei confronti degli eventuali controinteressati nei modi ordinari sarebbe impossibile in ragione dell’immenso numero dei destinatari; </w:t>
      </w:r>
      <w:r w:rsidRPr="00E94085">
        <w:rPr>
          <w:rFonts w:ascii="MS Mincho" w:eastAsia="MS Mincho" w:hAnsi="MS Mincho" w:cs="MS Mincho"/>
          <w:sz w:val="22"/>
          <w:szCs w:val="22"/>
        </w:rPr>
        <w:t> </w:t>
      </w:r>
    </w:p>
    <w:p w14:paraId="106F679D" w14:textId="3246255C" w:rsidR="00E94085" w:rsidRPr="00E94085" w:rsidRDefault="00E94085" w:rsidP="00B02396">
      <w:pPr>
        <w:widowControl w:val="0"/>
        <w:numPr>
          <w:ilvl w:val="0"/>
          <w:numId w:val="14"/>
        </w:numPr>
        <w:tabs>
          <w:tab w:val="left" w:pos="220"/>
          <w:tab w:val="left" w:pos="720"/>
        </w:tabs>
        <w:autoSpaceDE w:val="0"/>
        <w:autoSpaceDN w:val="0"/>
        <w:adjustRightInd w:val="0"/>
        <w:spacing w:line="360" w:lineRule="auto"/>
        <w:ind w:left="57" w:right="1418" w:hanging="720"/>
        <w:jc w:val="both"/>
        <w:rPr>
          <w:rFonts w:ascii="Arial" w:eastAsia="Calibri" w:hAnsi="Arial" w:cs="Arial"/>
          <w:sz w:val="22"/>
          <w:szCs w:val="22"/>
        </w:rPr>
      </w:pPr>
      <w:r w:rsidRPr="00E94085">
        <w:rPr>
          <w:rFonts w:ascii="Arial" w:eastAsia="Calibri" w:hAnsi="Arial" w:cs="Arial"/>
          <w:sz w:val="22"/>
          <w:szCs w:val="22"/>
        </w:rPr>
        <w:t xml:space="preserve">l’efficacia della tradizionale notificazione per pubblici proclami è stata più volte messa in dubbio e significative, al riguardo, sono le affermazioni contenute nella decisione della Quarta Sezione del Consiglio di Stato 19 febbraio 1990, n. 106, “[...] Non pare possa ragionevolmente invocarsi un onere di diligenza media del cittadino - potenziale convenuto in un giudizio - di prendere visione costante del Foglio degli annunci legali della Provincia o della Gazzetta ufficiale, nei quali il sunto del ricorso viene pubblicato [...]”; </w:t>
      </w:r>
      <w:r w:rsidRPr="00E94085">
        <w:rPr>
          <w:rFonts w:ascii="MS Mincho" w:eastAsia="MS Mincho" w:hAnsi="MS Mincho" w:cs="MS Mincho"/>
          <w:sz w:val="22"/>
          <w:szCs w:val="22"/>
        </w:rPr>
        <w:t> </w:t>
      </w:r>
    </w:p>
    <w:p w14:paraId="01333E34" w14:textId="34038B45" w:rsidR="007F5A1A" w:rsidRDefault="00E94085" w:rsidP="00B02396">
      <w:pPr>
        <w:widowControl w:val="0"/>
        <w:numPr>
          <w:ilvl w:val="0"/>
          <w:numId w:val="14"/>
        </w:numPr>
        <w:tabs>
          <w:tab w:val="left" w:pos="220"/>
          <w:tab w:val="left" w:pos="720"/>
        </w:tabs>
        <w:autoSpaceDE w:val="0"/>
        <w:autoSpaceDN w:val="0"/>
        <w:adjustRightInd w:val="0"/>
        <w:spacing w:line="360" w:lineRule="auto"/>
        <w:ind w:left="57" w:right="1418" w:hanging="720"/>
        <w:jc w:val="both"/>
        <w:rPr>
          <w:rFonts w:ascii="Arial" w:eastAsia="Calibri" w:hAnsi="Arial" w:cs="Arial"/>
          <w:sz w:val="22"/>
          <w:szCs w:val="22"/>
        </w:rPr>
      </w:pPr>
      <w:r w:rsidRPr="00E94085">
        <w:rPr>
          <w:rFonts w:ascii="Arial" w:eastAsia="Calibri" w:hAnsi="Arial" w:cs="Arial"/>
          <w:sz w:val="22"/>
          <w:szCs w:val="22"/>
        </w:rPr>
        <w:t>la pubblicazione sulla G.U. appare c</w:t>
      </w:r>
      <w:r>
        <w:rPr>
          <w:rFonts w:ascii="Arial" w:eastAsia="Calibri" w:hAnsi="Arial" w:cs="Arial"/>
          <w:sz w:val="22"/>
          <w:szCs w:val="22"/>
        </w:rPr>
        <w:t xml:space="preserve">omunque oltremodo onerosa per </w:t>
      </w:r>
      <w:r w:rsidR="004F0729">
        <w:rPr>
          <w:rFonts w:ascii="Arial" w:eastAsia="Calibri" w:hAnsi="Arial" w:cs="Arial"/>
          <w:sz w:val="22"/>
          <w:szCs w:val="22"/>
        </w:rPr>
        <w:t>il</w:t>
      </w:r>
      <w:r>
        <w:rPr>
          <w:rFonts w:ascii="Arial" w:eastAsia="Calibri" w:hAnsi="Arial" w:cs="Arial"/>
          <w:sz w:val="22"/>
          <w:szCs w:val="22"/>
        </w:rPr>
        <w:t xml:space="preserve"> ricorrente</w:t>
      </w:r>
      <w:r w:rsidRPr="00E94085">
        <w:rPr>
          <w:rFonts w:ascii="Arial" w:eastAsia="Calibri" w:hAnsi="Arial" w:cs="Arial"/>
          <w:sz w:val="22"/>
          <w:szCs w:val="22"/>
        </w:rPr>
        <w:t>;</w:t>
      </w:r>
    </w:p>
    <w:p w14:paraId="5D66DAC6" w14:textId="6DA91420" w:rsidR="007F5A1A" w:rsidRPr="007F5A1A" w:rsidRDefault="00E94085" w:rsidP="00B02396">
      <w:pPr>
        <w:pStyle w:val="Paragrafoelenco"/>
        <w:widowControl w:val="0"/>
        <w:numPr>
          <w:ilvl w:val="0"/>
          <w:numId w:val="14"/>
        </w:numPr>
        <w:tabs>
          <w:tab w:val="left" w:pos="220"/>
          <w:tab w:val="left" w:pos="720"/>
        </w:tabs>
        <w:autoSpaceDE w:val="0"/>
        <w:autoSpaceDN w:val="0"/>
        <w:adjustRightInd w:val="0"/>
        <w:spacing w:line="360" w:lineRule="auto"/>
        <w:ind w:left="57" w:right="1418"/>
        <w:jc w:val="both"/>
        <w:rPr>
          <w:rFonts w:ascii="Arial" w:eastAsia="Calibri" w:hAnsi="Arial" w:cs="Arial"/>
          <w:sz w:val="22"/>
          <w:szCs w:val="22"/>
        </w:rPr>
      </w:pPr>
      <w:r w:rsidRPr="007F5A1A">
        <w:rPr>
          <w:rFonts w:ascii="Arial" w:eastAsia="Calibri" w:hAnsi="Arial" w:cs="Arial"/>
          <w:sz w:val="22"/>
          <w:szCs w:val="22"/>
        </w:rPr>
        <w:t>già l’art. 12 della L. 21 luglio 2000, n. 205 aveva previsto la</w:t>
      </w:r>
      <w:r w:rsidR="007F5A1A" w:rsidRPr="007F5A1A">
        <w:rPr>
          <w:rFonts w:ascii="Arial" w:eastAsia="Calibri" w:hAnsi="Arial" w:cs="Arial"/>
          <w:sz w:val="22"/>
          <w:szCs w:val="22"/>
        </w:rPr>
        <w:t xml:space="preserve"> facoltà, per il Giudice adito</w:t>
      </w:r>
    </w:p>
    <w:p w14:paraId="7BC9D601" w14:textId="4DE3D849" w:rsidR="007F5A1A" w:rsidRDefault="00E94085" w:rsidP="00B02396">
      <w:pPr>
        <w:widowControl w:val="0"/>
        <w:tabs>
          <w:tab w:val="left" w:pos="220"/>
          <w:tab w:val="left" w:pos="720"/>
        </w:tabs>
        <w:autoSpaceDE w:val="0"/>
        <w:autoSpaceDN w:val="0"/>
        <w:adjustRightInd w:val="0"/>
        <w:spacing w:line="360" w:lineRule="auto"/>
        <w:ind w:left="57" w:right="1418"/>
        <w:jc w:val="both"/>
        <w:rPr>
          <w:rFonts w:ascii="Arial" w:eastAsia="Calibri" w:hAnsi="Arial" w:cs="Arial"/>
          <w:sz w:val="22"/>
          <w:szCs w:val="22"/>
        </w:rPr>
      </w:pPr>
      <w:r w:rsidRPr="007F5A1A">
        <w:rPr>
          <w:rFonts w:ascii="Arial" w:eastAsia="Calibri" w:hAnsi="Arial" w:cs="Arial"/>
          <w:sz w:val="22"/>
          <w:szCs w:val="22"/>
        </w:rPr>
        <w:t xml:space="preserve">di autorizzare la notifica con qualunque mezzo idoneo, compresi quelli per via telematica o </w:t>
      </w:r>
      <w:r w:rsidRPr="007F5A1A">
        <w:rPr>
          <w:rFonts w:ascii="Arial" w:eastAsia="Calibri" w:hAnsi="Arial" w:cs="Arial"/>
          <w:sz w:val="22"/>
          <w:szCs w:val="22"/>
        </w:rPr>
        <w:lastRenderedPageBreak/>
        <w:t xml:space="preserve">telefax, ai sensi dell’art. 151 c.p.c.; </w:t>
      </w:r>
      <w:r w:rsidRPr="007F5A1A">
        <w:rPr>
          <w:rFonts w:ascii="MS Mincho" w:eastAsia="MS Mincho" w:hAnsi="MS Mincho" w:cs="MS Mincho"/>
          <w:sz w:val="22"/>
          <w:szCs w:val="22"/>
        </w:rPr>
        <w:t> </w:t>
      </w:r>
    </w:p>
    <w:p w14:paraId="3A7111BE" w14:textId="0923F175" w:rsidR="00E94085" w:rsidRPr="007F5A1A" w:rsidRDefault="00E94085" w:rsidP="00B02396">
      <w:pPr>
        <w:widowControl w:val="0"/>
        <w:tabs>
          <w:tab w:val="left" w:pos="220"/>
          <w:tab w:val="left" w:pos="720"/>
        </w:tabs>
        <w:autoSpaceDE w:val="0"/>
        <w:autoSpaceDN w:val="0"/>
        <w:adjustRightInd w:val="0"/>
        <w:spacing w:line="360" w:lineRule="auto"/>
        <w:ind w:left="57" w:right="1418"/>
        <w:jc w:val="both"/>
        <w:rPr>
          <w:rFonts w:ascii="Arial" w:eastAsia="Calibri" w:hAnsi="Arial" w:cs="Arial"/>
          <w:sz w:val="22"/>
          <w:szCs w:val="22"/>
        </w:rPr>
      </w:pPr>
      <w:r w:rsidRPr="007F5A1A">
        <w:rPr>
          <w:rFonts w:ascii="Arial" w:eastAsia="Calibri" w:hAnsi="Arial" w:cs="Arial"/>
          <w:sz w:val="22"/>
          <w:szCs w:val="22"/>
        </w:rPr>
        <w:t xml:space="preserve">-  il TAR Lazio, quando è investito da azioni giudiziarie collettive, dispone sistematicamente quale forma di notifica diversa e alternativa rispetto alla tradizionale notificazione per pubblici proclami prevista dall’art. 150 c.p.c. - la pubblicazione del ricorso nel testo integrale sul sito internet del ramo di amministrazione interessata al procedimento su cui si controverte; </w:t>
      </w:r>
    </w:p>
    <w:p w14:paraId="6DA86291" w14:textId="77777777" w:rsidR="00E94085" w:rsidRPr="00E94085" w:rsidRDefault="00E94085" w:rsidP="00B02396">
      <w:pPr>
        <w:widowControl w:val="0"/>
        <w:numPr>
          <w:ilvl w:val="0"/>
          <w:numId w:val="16"/>
        </w:numPr>
        <w:tabs>
          <w:tab w:val="left" w:pos="220"/>
          <w:tab w:val="left" w:pos="720"/>
        </w:tabs>
        <w:autoSpaceDE w:val="0"/>
        <w:autoSpaceDN w:val="0"/>
        <w:adjustRightInd w:val="0"/>
        <w:spacing w:after="240" w:line="360" w:lineRule="auto"/>
        <w:ind w:left="57" w:right="1418" w:hanging="720"/>
        <w:jc w:val="both"/>
        <w:rPr>
          <w:rFonts w:ascii="Arial" w:eastAsia="Calibri" w:hAnsi="Arial" w:cs="Arial"/>
          <w:sz w:val="22"/>
          <w:szCs w:val="22"/>
        </w:rPr>
      </w:pPr>
      <w:r w:rsidRPr="00E94085">
        <w:rPr>
          <w:rFonts w:ascii="Arial" w:eastAsia="Calibri" w:hAnsi="Arial" w:cs="Arial"/>
          <w:kern w:val="1"/>
          <w:sz w:val="22"/>
          <w:szCs w:val="22"/>
        </w:rPr>
        <w:tab/>
      </w:r>
      <w:r w:rsidRPr="00E94085">
        <w:rPr>
          <w:rFonts w:ascii="Arial" w:eastAsia="Calibri" w:hAnsi="Arial" w:cs="Arial"/>
          <w:kern w:val="1"/>
          <w:sz w:val="22"/>
          <w:szCs w:val="22"/>
        </w:rPr>
        <w:tab/>
      </w:r>
      <w:r w:rsidRPr="00E94085">
        <w:rPr>
          <w:rFonts w:ascii="Arial" w:eastAsia="Calibri" w:hAnsi="Arial" w:cs="Arial"/>
          <w:sz w:val="22"/>
          <w:szCs w:val="22"/>
        </w:rPr>
        <w:t>-  </w:t>
      </w:r>
      <w:r>
        <w:rPr>
          <w:rFonts w:ascii="Arial" w:eastAsia="Calibri" w:hAnsi="Arial" w:cs="Arial"/>
          <w:sz w:val="22"/>
          <w:szCs w:val="22"/>
        </w:rPr>
        <w:t>anche i Tribunali del L</w:t>
      </w:r>
      <w:r w:rsidRPr="00E94085">
        <w:rPr>
          <w:rFonts w:ascii="Arial" w:eastAsia="Calibri" w:hAnsi="Arial" w:cs="Arial"/>
          <w:sz w:val="22"/>
          <w:szCs w:val="22"/>
        </w:rPr>
        <w:t xml:space="preserve">avoro, con recenti provvedimenti resi in controversie analoghe a quella in esame, hanno autorizzato tale forma alternativa di notifica riconoscendo esplicitamente che “[...] l’urgenza e la sformatizzazione della presente procedura nonché la peculiarità del caso (...) giustificano il ricorso a forme alternative di notifica nei termini stessi indicati dalla parte ricorrente; applicando pertanto l’art. 151 c.p.c. autorizza la ricorrente alla chiamata in causa dei soggetti individuati con l’ordinanza del 31.8.2011 mediante inserimento del ricorso e dell’ordinanza stessa nell’apposita area tematica del sito istituzionale del Ministero convenuto e dell’Ufficio regionale per la Liguria [...]” (Testualmente Tribunale di Genova, Sez. Lavoro, R.G. n. 3578/11 - provvedimento del 01/09/2011 pubblicato nel sito internet del M.I.U.R). </w:t>
      </w:r>
      <w:r w:rsidRPr="00E94085">
        <w:rPr>
          <w:rFonts w:ascii="MS Mincho" w:eastAsia="MS Mincho" w:hAnsi="MS Mincho" w:cs="MS Mincho"/>
          <w:sz w:val="22"/>
          <w:szCs w:val="22"/>
        </w:rPr>
        <w:t> </w:t>
      </w:r>
    </w:p>
    <w:p w14:paraId="1EC28B2E" w14:textId="2AC70577" w:rsidR="00E94085" w:rsidRPr="007F5A1A" w:rsidRDefault="00FF2892" w:rsidP="00B02396">
      <w:pPr>
        <w:widowControl w:val="0"/>
        <w:numPr>
          <w:ilvl w:val="0"/>
          <w:numId w:val="16"/>
        </w:numPr>
        <w:tabs>
          <w:tab w:val="left" w:pos="220"/>
          <w:tab w:val="left" w:pos="720"/>
        </w:tabs>
        <w:autoSpaceDE w:val="0"/>
        <w:autoSpaceDN w:val="0"/>
        <w:adjustRightInd w:val="0"/>
        <w:spacing w:line="360" w:lineRule="auto"/>
        <w:ind w:left="57" w:right="1418" w:hanging="720"/>
        <w:jc w:val="both"/>
        <w:rPr>
          <w:rFonts w:ascii="Arial" w:eastAsia="Calibri" w:hAnsi="Arial" w:cs="Arial"/>
          <w:b/>
          <w:sz w:val="22"/>
          <w:szCs w:val="22"/>
        </w:rPr>
      </w:pPr>
      <w:r>
        <w:rPr>
          <w:rFonts w:ascii="Arial" w:eastAsia="Calibri" w:hAnsi="Arial" w:cs="Arial"/>
          <w:b/>
          <w:sz w:val="22"/>
          <w:szCs w:val="22"/>
        </w:rPr>
        <w:t xml:space="preserve">            </w:t>
      </w:r>
      <w:r w:rsidR="00E94085" w:rsidRPr="007F5A1A">
        <w:rPr>
          <w:rFonts w:ascii="Arial" w:eastAsia="Calibri" w:hAnsi="Arial" w:cs="Arial"/>
          <w:b/>
          <w:sz w:val="22"/>
          <w:szCs w:val="22"/>
        </w:rPr>
        <w:t xml:space="preserve">RILEVATO, INFINE, CHE </w:t>
      </w:r>
      <w:r w:rsidR="00E94085" w:rsidRPr="007F5A1A">
        <w:rPr>
          <w:rFonts w:ascii="MS Mincho" w:eastAsia="MS Mincho" w:hAnsi="MS Mincho" w:cs="MS Mincho"/>
          <w:b/>
          <w:sz w:val="22"/>
          <w:szCs w:val="22"/>
        </w:rPr>
        <w:t> </w:t>
      </w:r>
    </w:p>
    <w:p w14:paraId="58EAA0E7" w14:textId="6D858355" w:rsidR="007F5A1A" w:rsidRDefault="00E94085" w:rsidP="00B02396">
      <w:pPr>
        <w:widowControl w:val="0"/>
        <w:numPr>
          <w:ilvl w:val="0"/>
          <w:numId w:val="16"/>
        </w:numPr>
        <w:tabs>
          <w:tab w:val="left" w:pos="220"/>
          <w:tab w:val="left" w:pos="720"/>
        </w:tabs>
        <w:autoSpaceDE w:val="0"/>
        <w:autoSpaceDN w:val="0"/>
        <w:adjustRightInd w:val="0"/>
        <w:spacing w:line="360" w:lineRule="auto"/>
        <w:ind w:left="57" w:right="1418" w:firstLine="0"/>
        <w:jc w:val="both"/>
        <w:rPr>
          <w:rFonts w:ascii="Arial" w:eastAsia="Calibri" w:hAnsi="Arial" w:cs="Arial"/>
          <w:sz w:val="22"/>
          <w:szCs w:val="22"/>
        </w:rPr>
      </w:pPr>
      <w:r w:rsidRPr="00E94085">
        <w:rPr>
          <w:rFonts w:ascii="Arial" w:eastAsia="Calibri" w:hAnsi="Arial" w:cs="Arial"/>
          <w:sz w:val="22"/>
          <w:szCs w:val="22"/>
        </w:rPr>
        <w:t xml:space="preserve">Tale forma di notifica continua a essere utilizzata in via ordinaria dal </w:t>
      </w:r>
      <w:r w:rsidRPr="00E94085">
        <w:rPr>
          <w:rFonts w:ascii="MS Mincho" w:eastAsia="MS Mincho" w:hAnsi="MS Mincho" w:cs="MS Mincho"/>
          <w:sz w:val="22"/>
          <w:szCs w:val="22"/>
        </w:rPr>
        <w:t> </w:t>
      </w:r>
      <w:r w:rsidRPr="00E94085">
        <w:rPr>
          <w:rFonts w:ascii="Arial" w:eastAsia="Calibri" w:hAnsi="Arial" w:cs="Arial"/>
          <w:sz w:val="22"/>
          <w:szCs w:val="22"/>
        </w:rPr>
        <w:t xml:space="preserve">Giudice Amministrativo nonché dal Giudice Ordinario in tutte le ipotesi di vertenze collettive. </w:t>
      </w:r>
      <w:r w:rsidRPr="007F5A1A">
        <w:rPr>
          <w:rFonts w:ascii="Arial" w:eastAsia="Calibri" w:hAnsi="Arial" w:cs="Arial"/>
          <w:sz w:val="22"/>
          <w:szCs w:val="22"/>
        </w:rPr>
        <w:t xml:space="preserve">Si veda, all’uopo, </w:t>
      </w:r>
      <w:r w:rsidR="007F5A1A">
        <w:rPr>
          <w:rFonts w:ascii="Arial" w:eastAsia="Calibri" w:hAnsi="Arial" w:cs="Arial"/>
          <w:sz w:val="22"/>
          <w:szCs w:val="22"/>
        </w:rPr>
        <w:t>il sito del MIUR all’indirizzo:</w:t>
      </w:r>
    </w:p>
    <w:p w14:paraId="02904036" w14:textId="3C2BAC70" w:rsidR="00E94085" w:rsidRPr="007F5A1A" w:rsidRDefault="00E94085" w:rsidP="00B02396">
      <w:pPr>
        <w:widowControl w:val="0"/>
        <w:numPr>
          <w:ilvl w:val="0"/>
          <w:numId w:val="16"/>
        </w:numPr>
        <w:tabs>
          <w:tab w:val="left" w:pos="220"/>
          <w:tab w:val="left" w:pos="720"/>
        </w:tabs>
        <w:autoSpaceDE w:val="0"/>
        <w:autoSpaceDN w:val="0"/>
        <w:adjustRightInd w:val="0"/>
        <w:spacing w:line="360" w:lineRule="auto"/>
        <w:ind w:left="57" w:right="1418" w:firstLine="0"/>
        <w:jc w:val="both"/>
        <w:rPr>
          <w:rFonts w:ascii="Arial" w:eastAsia="Calibri" w:hAnsi="Arial" w:cs="Arial"/>
          <w:sz w:val="22"/>
          <w:szCs w:val="22"/>
        </w:rPr>
      </w:pPr>
      <w:r w:rsidRPr="007F5A1A">
        <w:rPr>
          <w:rFonts w:ascii="Arial" w:eastAsia="Calibri" w:hAnsi="Arial" w:cs="Arial"/>
          <w:sz w:val="22"/>
          <w:szCs w:val="22"/>
        </w:rPr>
        <w:t xml:space="preserve">http://www.istruzione.it/web/ministero/proclami/proclami_12. </w:t>
      </w:r>
    </w:p>
    <w:p w14:paraId="47AA6744" w14:textId="77777777" w:rsidR="00E94085" w:rsidRDefault="00E94085" w:rsidP="00B02396">
      <w:pPr>
        <w:widowControl w:val="0"/>
        <w:numPr>
          <w:ilvl w:val="0"/>
          <w:numId w:val="16"/>
        </w:numPr>
        <w:tabs>
          <w:tab w:val="left" w:pos="220"/>
          <w:tab w:val="left" w:pos="720"/>
        </w:tabs>
        <w:autoSpaceDE w:val="0"/>
        <w:autoSpaceDN w:val="0"/>
        <w:adjustRightInd w:val="0"/>
        <w:spacing w:line="360" w:lineRule="auto"/>
        <w:ind w:left="57" w:right="1418" w:firstLine="0"/>
        <w:jc w:val="both"/>
        <w:rPr>
          <w:rFonts w:ascii="Arial" w:eastAsia="Calibri" w:hAnsi="Arial" w:cs="Arial"/>
          <w:sz w:val="22"/>
          <w:szCs w:val="22"/>
        </w:rPr>
      </w:pPr>
      <w:r w:rsidRPr="00E94085">
        <w:rPr>
          <w:rFonts w:ascii="MS Mincho" w:eastAsia="MS Mincho" w:hAnsi="MS Mincho" w:cs="MS Mincho"/>
          <w:sz w:val="22"/>
          <w:szCs w:val="22"/>
        </w:rPr>
        <w:t> </w:t>
      </w:r>
      <w:r w:rsidRPr="00E94085">
        <w:rPr>
          <w:rFonts w:ascii="Arial" w:eastAsia="Calibri" w:hAnsi="Arial" w:cs="Arial"/>
          <w:sz w:val="22"/>
          <w:szCs w:val="22"/>
        </w:rPr>
        <w:t xml:space="preserve">Tutto ciò premesso, i sottoscritti avvocati </w:t>
      </w:r>
    </w:p>
    <w:p w14:paraId="4C224C87" w14:textId="77777777" w:rsidR="00E94085" w:rsidRPr="007F5A1A" w:rsidRDefault="00E94085" w:rsidP="00B02396">
      <w:pPr>
        <w:widowControl w:val="0"/>
        <w:numPr>
          <w:ilvl w:val="0"/>
          <w:numId w:val="16"/>
        </w:numPr>
        <w:tabs>
          <w:tab w:val="left" w:pos="220"/>
          <w:tab w:val="left" w:pos="720"/>
        </w:tabs>
        <w:autoSpaceDE w:val="0"/>
        <w:autoSpaceDN w:val="0"/>
        <w:adjustRightInd w:val="0"/>
        <w:spacing w:line="360" w:lineRule="auto"/>
        <w:ind w:left="57" w:right="1418" w:firstLine="0"/>
        <w:jc w:val="both"/>
        <w:rPr>
          <w:rFonts w:ascii="Arial" w:eastAsia="Calibri" w:hAnsi="Arial" w:cs="Arial"/>
          <w:b/>
          <w:sz w:val="22"/>
          <w:szCs w:val="22"/>
        </w:rPr>
      </w:pPr>
      <w:r w:rsidRPr="00E94085">
        <w:rPr>
          <w:rFonts w:ascii="MS Mincho" w:eastAsia="MS Mincho" w:hAnsi="MS Mincho" w:cs="MS Mincho"/>
          <w:sz w:val="22"/>
          <w:szCs w:val="22"/>
        </w:rPr>
        <w:t> </w:t>
      </w:r>
      <w:r w:rsidRPr="007F5A1A">
        <w:rPr>
          <w:rFonts w:ascii="Arial" w:eastAsia="Calibri" w:hAnsi="Arial" w:cs="Arial"/>
          <w:b/>
          <w:sz w:val="22"/>
          <w:szCs w:val="22"/>
        </w:rPr>
        <w:t>FANNO ISTANZA</w:t>
      </w:r>
    </w:p>
    <w:p w14:paraId="2B65A916" w14:textId="4EA0B191" w:rsidR="00E94085" w:rsidRDefault="00E94085" w:rsidP="00B02396">
      <w:pPr>
        <w:widowControl w:val="0"/>
        <w:numPr>
          <w:ilvl w:val="0"/>
          <w:numId w:val="16"/>
        </w:numPr>
        <w:tabs>
          <w:tab w:val="left" w:pos="220"/>
          <w:tab w:val="left" w:pos="720"/>
        </w:tabs>
        <w:autoSpaceDE w:val="0"/>
        <w:autoSpaceDN w:val="0"/>
        <w:adjustRightInd w:val="0"/>
        <w:spacing w:line="360" w:lineRule="auto"/>
        <w:ind w:left="57" w:right="1418" w:firstLine="0"/>
        <w:jc w:val="both"/>
        <w:rPr>
          <w:rFonts w:ascii="Arial" w:eastAsia="Calibri" w:hAnsi="Arial" w:cs="Arial"/>
          <w:sz w:val="22"/>
          <w:szCs w:val="22"/>
        </w:rPr>
      </w:pPr>
      <w:r w:rsidRPr="00E94085">
        <w:rPr>
          <w:rFonts w:ascii="MS Mincho" w:eastAsia="MS Mincho" w:hAnsi="MS Mincho" w:cs="MS Mincho"/>
          <w:sz w:val="22"/>
          <w:szCs w:val="22"/>
        </w:rPr>
        <w:t> </w:t>
      </w:r>
      <w:r w:rsidR="001926DB">
        <w:rPr>
          <w:rFonts w:ascii="Arial" w:eastAsia="Calibri" w:hAnsi="Arial" w:cs="Arial"/>
          <w:sz w:val="22"/>
          <w:szCs w:val="22"/>
        </w:rPr>
        <w:t>Affinché la S.V. IIl.ma</w:t>
      </w:r>
      <w:r w:rsidRPr="00E94085">
        <w:rPr>
          <w:rFonts w:ascii="Arial" w:eastAsia="Calibri" w:hAnsi="Arial" w:cs="Arial"/>
          <w:sz w:val="22"/>
          <w:szCs w:val="22"/>
        </w:rPr>
        <w:t xml:space="preserve">, valutata l'opportunità di autorizzare la notificazione con modalità diverse da quelle stabilito dalla Legge, ai sensi dell'art. 151 c.p.c., in alternativa alla tradizionale notifica per pubblici proclami mediante </w:t>
      </w:r>
      <w:r w:rsidRPr="00E94085">
        <w:rPr>
          <w:rFonts w:ascii="MS Mincho" w:eastAsia="MS Mincho" w:hAnsi="MS Mincho" w:cs="MS Mincho"/>
          <w:sz w:val="22"/>
          <w:szCs w:val="22"/>
        </w:rPr>
        <w:t> </w:t>
      </w:r>
      <w:r w:rsidRPr="00E94085">
        <w:rPr>
          <w:rFonts w:ascii="Arial" w:eastAsia="Calibri" w:hAnsi="Arial" w:cs="Arial"/>
          <w:sz w:val="22"/>
          <w:szCs w:val="22"/>
        </w:rPr>
        <w:t xml:space="preserve">l’inserimento in G.U. </w:t>
      </w:r>
    </w:p>
    <w:p w14:paraId="28621F6E" w14:textId="76148030" w:rsidR="00E94085" w:rsidRPr="00E94085" w:rsidRDefault="00E94085" w:rsidP="00B02396">
      <w:pPr>
        <w:widowControl w:val="0"/>
        <w:numPr>
          <w:ilvl w:val="0"/>
          <w:numId w:val="16"/>
        </w:numPr>
        <w:tabs>
          <w:tab w:val="left" w:pos="220"/>
          <w:tab w:val="left" w:pos="720"/>
        </w:tabs>
        <w:autoSpaceDE w:val="0"/>
        <w:autoSpaceDN w:val="0"/>
        <w:adjustRightInd w:val="0"/>
        <w:spacing w:line="360" w:lineRule="auto"/>
        <w:ind w:left="57" w:right="1418" w:firstLine="0"/>
        <w:jc w:val="both"/>
        <w:rPr>
          <w:rFonts w:ascii="Arial" w:eastAsia="Calibri" w:hAnsi="Arial" w:cs="Arial"/>
          <w:sz w:val="22"/>
          <w:szCs w:val="22"/>
        </w:rPr>
      </w:pPr>
      <w:r w:rsidRPr="00E94085">
        <w:rPr>
          <w:rFonts w:ascii="MS Mincho" w:eastAsia="MS Mincho" w:hAnsi="MS Mincho" w:cs="MS Mincho"/>
          <w:sz w:val="22"/>
          <w:szCs w:val="22"/>
        </w:rPr>
        <w:t> </w:t>
      </w:r>
      <w:r w:rsidRPr="00F167E8">
        <w:rPr>
          <w:rFonts w:ascii="Arial" w:eastAsia="Calibri" w:hAnsi="Arial" w:cs="Arial"/>
          <w:b/>
          <w:sz w:val="22"/>
          <w:szCs w:val="22"/>
        </w:rPr>
        <w:t>VOGLIA</w:t>
      </w:r>
      <w:r w:rsidRPr="00F167E8">
        <w:rPr>
          <w:rFonts w:ascii="MS Mincho" w:eastAsia="MS Mincho" w:hAnsi="MS Mincho" w:cs="MS Mincho"/>
          <w:b/>
          <w:sz w:val="22"/>
          <w:szCs w:val="22"/>
        </w:rPr>
        <w:t> </w:t>
      </w:r>
      <w:r w:rsidRPr="00F167E8">
        <w:rPr>
          <w:rFonts w:ascii="Arial" w:eastAsia="Calibri" w:hAnsi="Arial" w:cs="Arial"/>
          <w:b/>
          <w:sz w:val="22"/>
          <w:szCs w:val="22"/>
        </w:rPr>
        <w:t xml:space="preserve">AUTORIZZARE LA NOTIFICAZIONE DEL RICORSO </w:t>
      </w:r>
      <w:r w:rsidRPr="00F167E8">
        <w:rPr>
          <w:rFonts w:ascii="MS Mincho" w:eastAsia="MS Mincho" w:hAnsi="MS Mincho" w:cs="MS Mincho"/>
          <w:b/>
          <w:sz w:val="22"/>
          <w:szCs w:val="22"/>
        </w:rPr>
        <w:t> </w:t>
      </w:r>
    </w:p>
    <w:p w14:paraId="1508B18A" w14:textId="1EB38446" w:rsidR="00E94085" w:rsidRPr="00E94085" w:rsidRDefault="00E94085" w:rsidP="00B02396">
      <w:pPr>
        <w:widowControl w:val="0"/>
        <w:autoSpaceDE w:val="0"/>
        <w:autoSpaceDN w:val="0"/>
        <w:adjustRightInd w:val="0"/>
        <w:spacing w:after="240" w:line="360" w:lineRule="auto"/>
        <w:ind w:left="57" w:right="1418"/>
        <w:jc w:val="both"/>
        <w:rPr>
          <w:rFonts w:ascii="Arial" w:eastAsia="Calibri" w:hAnsi="Arial" w:cs="Arial"/>
          <w:sz w:val="22"/>
          <w:szCs w:val="22"/>
        </w:rPr>
      </w:pPr>
      <w:r w:rsidRPr="00E94085">
        <w:rPr>
          <w:rFonts w:ascii="Arial" w:eastAsia="Calibri" w:hAnsi="Arial" w:cs="Arial"/>
          <w:sz w:val="22"/>
          <w:szCs w:val="22"/>
        </w:rPr>
        <w:t>- nei confronti di tutti i docenti attualmente inseriti nelle graduatorie ad esaurimento definitive di tutti i 101 ambi</w:t>
      </w:r>
      <w:r w:rsidR="00FF2892">
        <w:rPr>
          <w:rFonts w:ascii="Arial" w:eastAsia="Calibri" w:hAnsi="Arial" w:cs="Arial"/>
          <w:sz w:val="22"/>
          <w:szCs w:val="22"/>
        </w:rPr>
        <w:t>ti territoriali italiani, per la classe</w:t>
      </w:r>
      <w:r w:rsidRPr="00E94085">
        <w:rPr>
          <w:rFonts w:ascii="Arial" w:eastAsia="Calibri" w:hAnsi="Arial" w:cs="Arial"/>
          <w:sz w:val="22"/>
          <w:szCs w:val="22"/>
        </w:rPr>
        <w:t xml:space="preserve"> di concorso </w:t>
      </w:r>
      <w:r w:rsidR="00FF2892">
        <w:rPr>
          <w:rFonts w:ascii="Arial" w:eastAsia="Calibri" w:hAnsi="Arial" w:cs="Arial"/>
          <w:sz w:val="22"/>
          <w:szCs w:val="22"/>
        </w:rPr>
        <w:t>A047</w:t>
      </w:r>
      <w:r w:rsidRPr="00E94085">
        <w:rPr>
          <w:rFonts w:ascii="Arial" w:eastAsia="Calibri" w:hAnsi="Arial" w:cs="Arial"/>
          <w:sz w:val="22"/>
          <w:szCs w:val="22"/>
        </w:rPr>
        <w:t xml:space="preserve"> - attraverso la pubblicazione sul sito web istituzionale del MIUR dei seguenti dati: </w:t>
      </w:r>
    </w:p>
    <w:p w14:paraId="57C36C26" w14:textId="77777777" w:rsidR="00E94085" w:rsidRPr="00E94085" w:rsidRDefault="00E94085" w:rsidP="00B02396">
      <w:pPr>
        <w:widowControl w:val="0"/>
        <w:numPr>
          <w:ilvl w:val="0"/>
          <w:numId w:val="17"/>
        </w:numPr>
        <w:tabs>
          <w:tab w:val="left" w:pos="220"/>
          <w:tab w:val="left" w:pos="720"/>
        </w:tabs>
        <w:autoSpaceDE w:val="0"/>
        <w:autoSpaceDN w:val="0"/>
        <w:adjustRightInd w:val="0"/>
        <w:spacing w:line="360" w:lineRule="auto"/>
        <w:ind w:left="57" w:right="1418" w:firstLine="0"/>
        <w:jc w:val="both"/>
        <w:rPr>
          <w:rFonts w:ascii="Arial" w:eastAsia="Calibri" w:hAnsi="Arial" w:cs="Arial"/>
          <w:sz w:val="22"/>
          <w:szCs w:val="22"/>
        </w:rPr>
      </w:pPr>
      <w:r w:rsidRPr="00E94085">
        <w:rPr>
          <w:rFonts w:ascii="Arial" w:eastAsia="Calibri" w:hAnsi="Arial" w:cs="Arial"/>
          <w:sz w:val="22"/>
          <w:szCs w:val="22"/>
        </w:rPr>
        <w:t xml:space="preserve">a)  autorità giudiziaria innanzi alla quale si procede, numero di registro del ricorso e data dell’udienza; </w:t>
      </w:r>
      <w:r w:rsidRPr="00E94085">
        <w:rPr>
          <w:rFonts w:ascii="MS Mincho" w:eastAsia="MS Mincho" w:hAnsi="MS Mincho" w:cs="MS Mincho"/>
          <w:sz w:val="22"/>
          <w:szCs w:val="22"/>
        </w:rPr>
        <w:t> </w:t>
      </w:r>
    </w:p>
    <w:p w14:paraId="7F18DCEB" w14:textId="6F495992" w:rsidR="00E94085" w:rsidRPr="00E94085" w:rsidRDefault="00FF2892" w:rsidP="00B02396">
      <w:pPr>
        <w:widowControl w:val="0"/>
        <w:numPr>
          <w:ilvl w:val="0"/>
          <w:numId w:val="17"/>
        </w:numPr>
        <w:tabs>
          <w:tab w:val="left" w:pos="220"/>
          <w:tab w:val="left" w:pos="720"/>
        </w:tabs>
        <w:autoSpaceDE w:val="0"/>
        <w:autoSpaceDN w:val="0"/>
        <w:adjustRightInd w:val="0"/>
        <w:spacing w:line="360" w:lineRule="auto"/>
        <w:ind w:left="57" w:right="1418" w:firstLine="0"/>
        <w:jc w:val="both"/>
        <w:rPr>
          <w:rFonts w:ascii="Arial" w:eastAsia="Calibri" w:hAnsi="Arial" w:cs="Arial"/>
          <w:sz w:val="22"/>
          <w:szCs w:val="22"/>
        </w:rPr>
      </w:pPr>
      <w:r>
        <w:rPr>
          <w:rFonts w:ascii="Arial" w:eastAsia="Calibri" w:hAnsi="Arial" w:cs="Arial"/>
          <w:sz w:val="22"/>
          <w:szCs w:val="22"/>
        </w:rPr>
        <w:t xml:space="preserve">b)  nome della ricorrente </w:t>
      </w:r>
      <w:r w:rsidR="00E94085" w:rsidRPr="00E94085">
        <w:rPr>
          <w:rFonts w:ascii="Arial" w:eastAsia="Calibri" w:hAnsi="Arial" w:cs="Arial"/>
          <w:sz w:val="22"/>
          <w:szCs w:val="22"/>
        </w:rPr>
        <w:t xml:space="preserve">e indicazione dell’amministrazione intimata; </w:t>
      </w:r>
      <w:r w:rsidR="00E94085" w:rsidRPr="00E94085">
        <w:rPr>
          <w:rFonts w:ascii="MS Mincho" w:eastAsia="MS Mincho" w:hAnsi="MS Mincho" w:cs="MS Mincho"/>
          <w:sz w:val="22"/>
          <w:szCs w:val="22"/>
        </w:rPr>
        <w:t> </w:t>
      </w:r>
    </w:p>
    <w:p w14:paraId="77E031E2" w14:textId="77777777" w:rsidR="00E94085" w:rsidRPr="00E94085" w:rsidRDefault="00E94085" w:rsidP="00B02396">
      <w:pPr>
        <w:widowControl w:val="0"/>
        <w:numPr>
          <w:ilvl w:val="0"/>
          <w:numId w:val="17"/>
        </w:numPr>
        <w:tabs>
          <w:tab w:val="left" w:pos="220"/>
          <w:tab w:val="left" w:pos="720"/>
        </w:tabs>
        <w:autoSpaceDE w:val="0"/>
        <w:autoSpaceDN w:val="0"/>
        <w:adjustRightInd w:val="0"/>
        <w:spacing w:line="360" w:lineRule="auto"/>
        <w:ind w:left="57" w:right="1418" w:firstLine="0"/>
        <w:jc w:val="both"/>
        <w:rPr>
          <w:rFonts w:ascii="Arial" w:eastAsia="Calibri" w:hAnsi="Arial" w:cs="Arial"/>
          <w:sz w:val="22"/>
          <w:szCs w:val="22"/>
        </w:rPr>
      </w:pPr>
      <w:r w:rsidRPr="00E94085">
        <w:rPr>
          <w:rFonts w:ascii="Arial" w:eastAsia="Calibri" w:hAnsi="Arial" w:cs="Arial"/>
          <w:sz w:val="22"/>
          <w:szCs w:val="22"/>
        </w:rPr>
        <w:lastRenderedPageBreak/>
        <w:t xml:space="preserve">c)  sunto dei motivi del ricorso; </w:t>
      </w:r>
      <w:r w:rsidRPr="00E94085">
        <w:rPr>
          <w:rFonts w:ascii="MS Mincho" w:eastAsia="MS Mincho" w:hAnsi="MS Mincho" w:cs="MS Mincho"/>
          <w:sz w:val="22"/>
          <w:szCs w:val="22"/>
        </w:rPr>
        <w:t> </w:t>
      </w:r>
    </w:p>
    <w:p w14:paraId="6EE69785" w14:textId="53A1FE89" w:rsidR="00E94085" w:rsidRPr="00E94085" w:rsidRDefault="00E94085" w:rsidP="00B02396">
      <w:pPr>
        <w:widowControl w:val="0"/>
        <w:numPr>
          <w:ilvl w:val="0"/>
          <w:numId w:val="17"/>
        </w:numPr>
        <w:tabs>
          <w:tab w:val="left" w:pos="220"/>
          <w:tab w:val="left" w:pos="720"/>
        </w:tabs>
        <w:autoSpaceDE w:val="0"/>
        <w:autoSpaceDN w:val="0"/>
        <w:adjustRightInd w:val="0"/>
        <w:spacing w:line="360" w:lineRule="auto"/>
        <w:ind w:left="57" w:right="1418" w:firstLine="0"/>
        <w:jc w:val="both"/>
        <w:rPr>
          <w:rFonts w:ascii="Arial" w:eastAsia="Calibri" w:hAnsi="Arial" w:cs="Arial"/>
          <w:sz w:val="22"/>
          <w:szCs w:val="22"/>
        </w:rPr>
      </w:pPr>
      <w:r>
        <w:rPr>
          <w:rFonts w:ascii="Arial" w:eastAsia="Calibri" w:hAnsi="Arial" w:cs="Arial"/>
          <w:sz w:val="22"/>
          <w:szCs w:val="22"/>
        </w:rPr>
        <w:t xml:space="preserve">d) </w:t>
      </w:r>
      <w:r w:rsidRPr="00E94085">
        <w:rPr>
          <w:rFonts w:ascii="Arial" w:eastAsia="Calibri" w:hAnsi="Arial" w:cs="Arial"/>
          <w:sz w:val="22"/>
          <w:szCs w:val="22"/>
        </w:rPr>
        <w:t xml:space="preserve">indicazione dei controinteressati, genericamente individuati come “tutti i </w:t>
      </w:r>
      <w:r w:rsidRPr="00E94085">
        <w:rPr>
          <w:rFonts w:ascii="MS Mincho" w:eastAsia="MS Mincho" w:hAnsi="MS Mincho" w:cs="MS Mincho"/>
          <w:sz w:val="22"/>
          <w:szCs w:val="22"/>
        </w:rPr>
        <w:t> </w:t>
      </w:r>
      <w:r w:rsidRPr="00E94085">
        <w:rPr>
          <w:rFonts w:ascii="Arial" w:eastAsia="Calibri" w:hAnsi="Arial" w:cs="Arial"/>
          <w:sz w:val="22"/>
          <w:szCs w:val="22"/>
        </w:rPr>
        <w:t>docenti attualmente inseriti nelle graduatorie ad esaurimento definitive di tutti i 101 ambiti territoriali italiani, p</w:t>
      </w:r>
      <w:r w:rsidR="00FF2892">
        <w:rPr>
          <w:rFonts w:ascii="Arial" w:eastAsia="Calibri" w:hAnsi="Arial" w:cs="Arial"/>
          <w:sz w:val="22"/>
          <w:szCs w:val="22"/>
        </w:rPr>
        <w:t>er la classe</w:t>
      </w:r>
      <w:r w:rsidRPr="00E94085">
        <w:rPr>
          <w:rFonts w:ascii="Arial" w:eastAsia="Calibri" w:hAnsi="Arial" w:cs="Arial"/>
          <w:sz w:val="22"/>
          <w:szCs w:val="22"/>
        </w:rPr>
        <w:t xml:space="preserve"> di concorso </w:t>
      </w:r>
      <w:r w:rsidR="00FF2892">
        <w:rPr>
          <w:rFonts w:ascii="Arial" w:eastAsia="Calibri" w:hAnsi="Arial" w:cs="Arial"/>
          <w:sz w:val="22"/>
          <w:szCs w:val="22"/>
        </w:rPr>
        <w:t>A047 (matematica)</w:t>
      </w:r>
      <w:r w:rsidR="004F0729" w:rsidRPr="00E94085">
        <w:rPr>
          <w:rFonts w:ascii="Arial" w:eastAsia="Calibri" w:hAnsi="Arial" w:cs="Arial"/>
          <w:sz w:val="22"/>
          <w:szCs w:val="22"/>
        </w:rPr>
        <w:t xml:space="preserve"> </w:t>
      </w:r>
      <w:r w:rsidRPr="00E94085">
        <w:rPr>
          <w:rFonts w:ascii="Arial" w:eastAsia="Calibri" w:hAnsi="Arial" w:cs="Arial"/>
          <w:sz w:val="22"/>
          <w:szCs w:val="22"/>
        </w:rPr>
        <w:t xml:space="preserve">e, in particolare, i docenti inseriti (per le suddette classi concorsuali) nell’ambito territoriale di </w:t>
      </w:r>
      <w:r>
        <w:rPr>
          <w:rFonts w:ascii="Arial" w:eastAsia="Calibri" w:hAnsi="Arial" w:cs="Arial"/>
          <w:sz w:val="22"/>
          <w:szCs w:val="22"/>
        </w:rPr>
        <w:t>Salerno</w:t>
      </w:r>
      <w:r w:rsidRPr="00E94085">
        <w:rPr>
          <w:rFonts w:ascii="Arial" w:eastAsia="Calibri" w:hAnsi="Arial" w:cs="Arial"/>
          <w:sz w:val="22"/>
          <w:szCs w:val="22"/>
        </w:rPr>
        <w:t xml:space="preserve">”; </w:t>
      </w:r>
      <w:r w:rsidRPr="00E94085">
        <w:rPr>
          <w:rFonts w:ascii="MS Mincho" w:eastAsia="MS Mincho" w:hAnsi="MS Mincho" w:cs="MS Mincho"/>
          <w:sz w:val="22"/>
          <w:szCs w:val="22"/>
        </w:rPr>
        <w:t> </w:t>
      </w:r>
    </w:p>
    <w:p w14:paraId="1F4FC33A" w14:textId="683E92EA" w:rsidR="00E94085" w:rsidRPr="00F167E8" w:rsidRDefault="00F167E8" w:rsidP="00B02396">
      <w:pPr>
        <w:pStyle w:val="Paragrafoelenco"/>
        <w:widowControl w:val="0"/>
        <w:numPr>
          <w:ilvl w:val="0"/>
          <w:numId w:val="17"/>
        </w:numPr>
        <w:autoSpaceDE w:val="0"/>
        <w:autoSpaceDN w:val="0"/>
        <w:adjustRightInd w:val="0"/>
        <w:spacing w:line="360" w:lineRule="auto"/>
        <w:ind w:left="57" w:right="1418" w:firstLine="0"/>
        <w:contextualSpacing w:val="0"/>
        <w:jc w:val="both"/>
        <w:rPr>
          <w:rFonts w:ascii="Times" w:eastAsia="Calibri" w:hAnsi="Times" w:cs="Times"/>
        </w:rPr>
      </w:pPr>
      <w:r>
        <w:rPr>
          <w:rFonts w:ascii="Arial" w:eastAsia="Calibri" w:hAnsi="Arial" w:cs="Arial"/>
          <w:sz w:val="22"/>
          <w:szCs w:val="22"/>
        </w:rPr>
        <w:t xml:space="preserve">e) </w:t>
      </w:r>
      <w:r w:rsidR="00E94085" w:rsidRPr="00F167E8">
        <w:rPr>
          <w:rFonts w:ascii="Arial" w:eastAsia="Calibri" w:hAnsi="Arial" w:cs="Arial"/>
          <w:sz w:val="22"/>
          <w:szCs w:val="22"/>
        </w:rPr>
        <w:t>testo integrale del ricorso e pedissequo decreto di fissazione dell’udienza</w:t>
      </w:r>
      <w:r w:rsidR="00E94085" w:rsidRPr="00F167E8">
        <w:rPr>
          <w:rFonts w:ascii="Times" w:eastAsia="Calibri" w:hAnsi="Times" w:cs="Times"/>
          <w:sz w:val="32"/>
          <w:szCs w:val="32"/>
        </w:rPr>
        <w:t xml:space="preserve">. </w:t>
      </w:r>
    </w:p>
    <w:p w14:paraId="2EC11A28" w14:textId="77777777" w:rsidR="00F167E8" w:rsidRDefault="00F167E8" w:rsidP="00B02396">
      <w:pPr>
        <w:pStyle w:val="Paragrafoelenco"/>
        <w:spacing w:line="360" w:lineRule="auto"/>
        <w:ind w:left="57" w:right="1418"/>
        <w:jc w:val="both"/>
        <w:rPr>
          <w:rFonts w:ascii="Arial" w:hAnsi="Arial" w:cs="Arial"/>
          <w:color w:val="000000"/>
          <w:sz w:val="22"/>
          <w:szCs w:val="22"/>
        </w:rPr>
      </w:pPr>
    </w:p>
    <w:p w14:paraId="462F105A" w14:textId="75AEAB46" w:rsidR="00E94085" w:rsidRDefault="00E94085" w:rsidP="00B02396">
      <w:pPr>
        <w:pStyle w:val="Paragrafoelenco"/>
        <w:spacing w:line="360" w:lineRule="auto"/>
        <w:ind w:left="57" w:right="1418"/>
        <w:jc w:val="both"/>
        <w:rPr>
          <w:rFonts w:ascii="Arial" w:hAnsi="Arial" w:cs="Arial"/>
          <w:color w:val="000000"/>
          <w:sz w:val="22"/>
          <w:szCs w:val="22"/>
        </w:rPr>
      </w:pPr>
      <w:r w:rsidRPr="00E94085">
        <w:rPr>
          <w:rFonts w:ascii="Arial" w:hAnsi="Arial" w:cs="Arial"/>
          <w:color w:val="000000"/>
          <w:sz w:val="22"/>
          <w:szCs w:val="22"/>
        </w:rPr>
        <w:t xml:space="preserve">Salerno, lì </w:t>
      </w:r>
      <w:r w:rsidR="00EB1CFC">
        <w:rPr>
          <w:rFonts w:ascii="Arial" w:hAnsi="Arial" w:cs="Arial"/>
          <w:color w:val="000000"/>
          <w:sz w:val="22"/>
          <w:szCs w:val="22"/>
        </w:rPr>
        <w:t>12.02.2016</w:t>
      </w:r>
    </w:p>
    <w:p w14:paraId="5CDDF04D" w14:textId="08AD099B" w:rsidR="00E94085" w:rsidRDefault="00E94085" w:rsidP="00B02396">
      <w:pPr>
        <w:pStyle w:val="Paragrafoelenco"/>
        <w:spacing w:line="360" w:lineRule="auto"/>
        <w:ind w:left="57" w:right="1418"/>
        <w:jc w:val="right"/>
        <w:rPr>
          <w:rFonts w:ascii="Arial" w:hAnsi="Arial" w:cs="Arial"/>
          <w:color w:val="000000"/>
          <w:sz w:val="22"/>
          <w:szCs w:val="22"/>
        </w:rPr>
      </w:pPr>
      <w:r>
        <w:rPr>
          <w:rFonts w:ascii="Arial" w:hAnsi="Arial" w:cs="Arial"/>
          <w:color w:val="000000"/>
          <w:sz w:val="22"/>
          <w:szCs w:val="22"/>
        </w:rPr>
        <w:t>Avv. Maddalena Sisinni</w:t>
      </w:r>
    </w:p>
    <w:p w14:paraId="124F5643" w14:textId="77777777" w:rsidR="00E94085" w:rsidRDefault="00E94085" w:rsidP="00B02396">
      <w:pPr>
        <w:pStyle w:val="Paragrafoelenco"/>
        <w:spacing w:line="360" w:lineRule="auto"/>
        <w:ind w:left="57" w:right="1418"/>
        <w:jc w:val="right"/>
        <w:rPr>
          <w:rFonts w:ascii="Arial" w:hAnsi="Arial" w:cs="Arial"/>
          <w:color w:val="000000"/>
          <w:sz w:val="22"/>
          <w:szCs w:val="22"/>
        </w:rPr>
      </w:pPr>
    </w:p>
    <w:p w14:paraId="07BA5B4C" w14:textId="77777777" w:rsidR="00F167E8" w:rsidRDefault="00F167E8" w:rsidP="00B02396">
      <w:pPr>
        <w:pStyle w:val="Paragrafoelenco"/>
        <w:spacing w:line="360" w:lineRule="auto"/>
        <w:ind w:left="57" w:right="1418"/>
        <w:jc w:val="right"/>
        <w:rPr>
          <w:rFonts w:ascii="Arial" w:hAnsi="Arial" w:cs="Arial"/>
          <w:color w:val="000000"/>
          <w:sz w:val="22"/>
          <w:szCs w:val="22"/>
        </w:rPr>
      </w:pPr>
    </w:p>
    <w:p w14:paraId="25F8216C" w14:textId="596B62CE" w:rsidR="00E94085" w:rsidRPr="00F167E8" w:rsidRDefault="00F167E8" w:rsidP="00B02396">
      <w:pPr>
        <w:pStyle w:val="Paragrafoelenco"/>
        <w:spacing w:line="360" w:lineRule="auto"/>
        <w:ind w:left="57" w:right="1418"/>
        <w:jc w:val="right"/>
        <w:rPr>
          <w:rFonts w:ascii="Arial" w:hAnsi="Arial" w:cs="Arial"/>
          <w:color w:val="000000"/>
          <w:sz w:val="22"/>
          <w:szCs w:val="22"/>
        </w:rPr>
      </w:pPr>
      <w:r>
        <w:rPr>
          <w:rFonts w:ascii="Arial" w:hAnsi="Arial" w:cs="Arial"/>
          <w:color w:val="000000"/>
          <w:sz w:val="22"/>
          <w:szCs w:val="22"/>
        </w:rPr>
        <w:t>Avv. Giuliana Alati</w:t>
      </w:r>
    </w:p>
    <w:p w14:paraId="3B26E841" w14:textId="77777777" w:rsidR="00E94085" w:rsidRDefault="00E94085" w:rsidP="00B02396">
      <w:pPr>
        <w:pStyle w:val="Paragrafoelenco"/>
        <w:spacing w:line="360" w:lineRule="auto"/>
        <w:ind w:left="57" w:right="1418"/>
        <w:jc w:val="both"/>
        <w:rPr>
          <w:rFonts w:ascii="Arial" w:hAnsi="Arial" w:cs="Arial"/>
          <w:b/>
          <w:color w:val="000000"/>
          <w:sz w:val="22"/>
          <w:szCs w:val="22"/>
          <w:u w:val="single"/>
        </w:rPr>
      </w:pPr>
    </w:p>
    <w:p w14:paraId="37FDBA42" w14:textId="77777777" w:rsidR="00A13898" w:rsidRPr="0056268B" w:rsidRDefault="00A13898" w:rsidP="00B02396">
      <w:pPr>
        <w:pStyle w:val="Paragrafoelenco"/>
        <w:spacing w:line="360" w:lineRule="auto"/>
        <w:ind w:left="57" w:right="1418"/>
        <w:jc w:val="center"/>
        <w:rPr>
          <w:rFonts w:ascii="Arial" w:hAnsi="Arial" w:cs="Arial"/>
          <w:b/>
          <w:color w:val="000000"/>
          <w:sz w:val="22"/>
          <w:szCs w:val="22"/>
          <w:u w:val="single"/>
        </w:rPr>
      </w:pPr>
      <w:r w:rsidRPr="0056268B">
        <w:rPr>
          <w:rFonts w:ascii="Arial" w:hAnsi="Arial" w:cs="Arial"/>
          <w:b/>
          <w:color w:val="000000"/>
          <w:sz w:val="22"/>
          <w:szCs w:val="22"/>
          <w:u w:val="single"/>
        </w:rPr>
        <w:t>Dichiarazione di valore della causa</w:t>
      </w:r>
    </w:p>
    <w:p w14:paraId="1BDF37FE" w14:textId="77777777" w:rsidR="00A13898" w:rsidRPr="0056268B" w:rsidRDefault="00A13898" w:rsidP="00B02396">
      <w:pPr>
        <w:pStyle w:val="Paragrafoelenco"/>
        <w:spacing w:line="360" w:lineRule="auto"/>
        <w:ind w:left="57" w:right="1418"/>
        <w:jc w:val="both"/>
        <w:rPr>
          <w:rFonts w:ascii="Arial" w:hAnsi="Arial" w:cs="Arial"/>
          <w:b/>
          <w:color w:val="000000"/>
          <w:sz w:val="22"/>
          <w:szCs w:val="22"/>
          <w:u w:val="single"/>
        </w:rPr>
      </w:pPr>
    </w:p>
    <w:p w14:paraId="3C8EFBBE" w14:textId="2CBBC578" w:rsidR="00A13898" w:rsidRPr="00F167E8" w:rsidRDefault="00A13898" w:rsidP="00B02396">
      <w:pPr>
        <w:pStyle w:val="Paragrafoelenco"/>
        <w:spacing w:line="360" w:lineRule="auto"/>
        <w:ind w:left="57" w:right="1418"/>
        <w:jc w:val="both"/>
        <w:rPr>
          <w:rFonts w:ascii="Arial" w:hAnsi="Arial" w:cs="Arial"/>
          <w:color w:val="000000"/>
          <w:sz w:val="22"/>
          <w:szCs w:val="22"/>
        </w:rPr>
      </w:pPr>
      <w:r w:rsidRPr="0056268B">
        <w:rPr>
          <w:rFonts w:ascii="Arial" w:hAnsi="Arial" w:cs="Arial"/>
          <w:color w:val="000000"/>
          <w:sz w:val="22"/>
          <w:szCs w:val="22"/>
        </w:rPr>
        <w:t xml:space="preserve">Ai sensi della L. 488/99, così come modificata ed integrata dal D.P.R. 115/02, si dichiara che il valore della presente causa è indeterminabile. </w:t>
      </w:r>
      <w:r w:rsidR="00F33A1E">
        <w:rPr>
          <w:rFonts w:ascii="Arial" w:hAnsi="Arial" w:cs="Arial"/>
          <w:color w:val="000000"/>
          <w:sz w:val="22"/>
          <w:szCs w:val="22"/>
        </w:rPr>
        <w:t>Non si versa il contributo unificato in quanto esente ex art. 9 comma 1 bis D.P.R. 30/05/2002 n. 115</w:t>
      </w:r>
      <w:r w:rsidRPr="0056268B">
        <w:rPr>
          <w:rFonts w:ascii="Arial" w:hAnsi="Arial" w:cs="Arial"/>
          <w:color w:val="000000"/>
          <w:sz w:val="22"/>
          <w:szCs w:val="22"/>
        </w:rPr>
        <w:t>.</w:t>
      </w:r>
    </w:p>
    <w:p w14:paraId="545C7234" w14:textId="4D7525A3" w:rsidR="00A13898" w:rsidRPr="0056268B" w:rsidRDefault="00A13898" w:rsidP="00B02396">
      <w:pPr>
        <w:spacing w:line="360" w:lineRule="auto"/>
        <w:ind w:left="57" w:right="1418"/>
        <w:jc w:val="both"/>
        <w:rPr>
          <w:rFonts w:ascii="Arial" w:hAnsi="Arial" w:cs="Arial"/>
          <w:color w:val="000000"/>
          <w:sz w:val="22"/>
          <w:szCs w:val="22"/>
        </w:rPr>
      </w:pPr>
      <w:r w:rsidRPr="0056268B">
        <w:rPr>
          <w:rFonts w:ascii="Arial" w:hAnsi="Arial" w:cs="Arial"/>
          <w:color w:val="000000"/>
          <w:sz w:val="22"/>
          <w:szCs w:val="22"/>
        </w:rPr>
        <w:t xml:space="preserve">Salerno, lì </w:t>
      </w:r>
      <w:r w:rsidR="00EB1CFC">
        <w:rPr>
          <w:rFonts w:ascii="Arial" w:hAnsi="Arial" w:cs="Arial"/>
          <w:color w:val="000000"/>
          <w:sz w:val="22"/>
          <w:szCs w:val="22"/>
        </w:rPr>
        <w:t>12.02.2016</w:t>
      </w:r>
    </w:p>
    <w:p w14:paraId="799607FC" w14:textId="77777777" w:rsidR="00A13898" w:rsidRPr="0056268B" w:rsidRDefault="00A13898" w:rsidP="00B02396">
      <w:pPr>
        <w:spacing w:line="360" w:lineRule="auto"/>
        <w:ind w:left="57" w:right="1418"/>
        <w:jc w:val="both"/>
        <w:rPr>
          <w:rFonts w:ascii="Arial" w:hAnsi="Arial" w:cs="Arial"/>
          <w:color w:val="000000"/>
          <w:sz w:val="22"/>
          <w:szCs w:val="22"/>
        </w:rPr>
      </w:pPr>
    </w:p>
    <w:p w14:paraId="0BBD3940" w14:textId="77777777" w:rsidR="00A13898" w:rsidRPr="0056268B" w:rsidRDefault="00A13898" w:rsidP="00B02396">
      <w:pPr>
        <w:spacing w:line="360" w:lineRule="auto"/>
        <w:ind w:left="57" w:right="1418"/>
        <w:jc w:val="right"/>
        <w:rPr>
          <w:rFonts w:ascii="Arial" w:hAnsi="Arial" w:cs="Arial"/>
          <w:color w:val="000000"/>
          <w:sz w:val="22"/>
          <w:szCs w:val="22"/>
        </w:rPr>
      </w:pPr>
      <w:r w:rsidRPr="0056268B">
        <w:rPr>
          <w:rFonts w:ascii="Arial" w:hAnsi="Arial" w:cs="Arial"/>
          <w:color w:val="000000"/>
          <w:sz w:val="22"/>
          <w:szCs w:val="22"/>
        </w:rPr>
        <w:t xml:space="preserve">                                                    Avv. Maddalena Sisinni</w:t>
      </w:r>
    </w:p>
    <w:p w14:paraId="7549F289" w14:textId="77777777" w:rsidR="00A13898" w:rsidRPr="0056268B" w:rsidRDefault="00A13898" w:rsidP="00B02396">
      <w:pPr>
        <w:spacing w:line="360" w:lineRule="auto"/>
        <w:ind w:left="57" w:right="1418"/>
        <w:jc w:val="both"/>
        <w:rPr>
          <w:rFonts w:ascii="Arial" w:hAnsi="Arial" w:cs="Arial"/>
          <w:color w:val="000000"/>
          <w:sz w:val="22"/>
          <w:szCs w:val="22"/>
        </w:rPr>
      </w:pPr>
    </w:p>
    <w:p w14:paraId="30EA6B01" w14:textId="77777777" w:rsidR="00A13898" w:rsidRPr="0056268B" w:rsidRDefault="00A13898" w:rsidP="00B02396">
      <w:pPr>
        <w:spacing w:line="360" w:lineRule="auto"/>
        <w:ind w:left="57" w:right="1418"/>
        <w:jc w:val="both"/>
        <w:rPr>
          <w:rFonts w:ascii="Arial" w:hAnsi="Arial" w:cs="Arial"/>
          <w:color w:val="000000"/>
          <w:sz w:val="22"/>
          <w:szCs w:val="22"/>
        </w:rPr>
      </w:pPr>
    </w:p>
    <w:p w14:paraId="39DAAE63" w14:textId="4947084C" w:rsidR="00A13898" w:rsidRPr="00F167E8" w:rsidRDefault="00F167E8" w:rsidP="00B02396">
      <w:pPr>
        <w:spacing w:line="360" w:lineRule="auto"/>
        <w:ind w:left="57" w:right="1418"/>
        <w:jc w:val="right"/>
        <w:rPr>
          <w:rFonts w:ascii="Arial" w:hAnsi="Arial" w:cs="Arial"/>
          <w:color w:val="000000"/>
          <w:sz w:val="22"/>
          <w:szCs w:val="22"/>
        </w:rPr>
      </w:pPr>
      <w:r>
        <w:rPr>
          <w:rFonts w:ascii="Arial" w:hAnsi="Arial" w:cs="Arial"/>
          <w:color w:val="000000"/>
          <w:sz w:val="22"/>
          <w:szCs w:val="22"/>
        </w:rPr>
        <w:t>Avv. Giuliana Alati</w:t>
      </w:r>
    </w:p>
    <w:p w14:paraId="1560ED13" w14:textId="77777777" w:rsidR="00775689" w:rsidRPr="0056268B" w:rsidRDefault="00775689" w:rsidP="00B02396">
      <w:pPr>
        <w:pStyle w:val="Paragrafoelenco"/>
        <w:autoSpaceDE w:val="0"/>
        <w:autoSpaceDN w:val="0"/>
        <w:adjustRightInd w:val="0"/>
        <w:spacing w:line="360" w:lineRule="auto"/>
        <w:ind w:left="57" w:right="1418"/>
        <w:jc w:val="both"/>
        <w:rPr>
          <w:rFonts w:ascii="Arial" w:hAnsi="Arial" w:cs="Arial"/>
          <w:b/>
          <w:sz w:val="22"/>
          <w:szCs w:val="22"/>
        </w:rPr>
      </w:pPr>
    </w:p>
    <w:sectPr w:rsidR="00775689" w:rsidRPr="0056268B" w:rsidSect="00B67D2D">
      <w:headerReference w:type="default" r:id="rId10"/>
      <w:footerReference w:type="default" r:id="rId11"/>
      <w:pgSz w:w="11906" w:h="16838" w:code="9"/>
      <w:pgMar w:top="720" w:right="720" w:bottom="720" w:left="72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5221B" w14:textId="77777777" w:rsidR="002B5499" w:rsidRDefault="002B5499" w:rsidP="00C91690">
      <w:r>
        <w:separator/>
      </w:r>
    </w:p>
  </w:endnote>
  <w:endnote w:type="continuationSeparator" w:id="0">
    <w:p w14:paraId="53E1C5C6" w14:textId="77777777" w:rsidR="002B5499" w:rsidRDefault="002B5499" w:rsidP="00C91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ingLiU">
    <w:panose1 w:val="02020509000000000000"/>
    <w:charset w:val="88"/>
    <w:family w:val="auto"/>
    <w:pitch w:val="variable"/>
    <w:sig w:usb0="A00002FF" w:usb1="28CFFCFA" w:usb2="00000016" w:usb3="00000000" w:csb0="00100001" w:csb1="00000000"/>
  </w:font>
  <w:font w:name="MS Mincho">
    <w:panose1 w:val="02020609040205080304"/>
    <w:charset w:val="80"/>
    <w:family w:val="auto"/>
    <w:pitch w:val="variable"/>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Lucida Calligraphy">
    <w:panose1 w:val="03010101010101010101"/>
    <w:charset w:val="00"/>
    <w:family w:val="auto"/>
    <w:pitch w:val="variable"/>
    <w:sig w:usb0="00000003" w:usb1="00000000" w:usb2="00000000" w:usb3="00000000" w:csb0="0000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80B88" w14:textId="77777777" w:rsidR="00764EF4" w:rsidRDefault="00764EF4">
    <w:pPr>
      <w:pStyle w:val="Pidipagina"/>
      <w:jc w:val="right"/>
    </w:pPr>
    <w:r>
      <w:t xml:space="preserve">Pagina </w:t>
    </w:r>
    <w:r>
      <w:rPr>
        <w:b/>
      </w:rPr>
      <w:fldChar w:fldCharType="begin"/>
    </w:r>
    <w:r>
      <w:rPr>
        <w:b/>
      </w:rPr>
      <w:instrText>PAGE</w:instrText>
    </w:r>
    <w:r>
      <w:rPr>
        <w:b/>
      </w:rPr>
      <w:fldChar w:fldCharType="separate"/>
    </w:r>
    <w:r w:rsidR="00FA7E85">
      <w:rPr>
        <w:b/>
        <w:noProof/>
      </w:rPr>
      <w:t>2</w:t>
    </w:r>
    <w:r>
      <w:rPr>
        <w:b/>
      </w:rPr>
      <w:fldChar w:fldCharType="end"/>
    </w:r>
    <w:r>
      <w:t xml:space="preserve"> di </w:t>
    </w:r>
    <w:r>
      <w:rPr>
        <w:b/>
      </w:rPr>
      <w:fldChar w:fldCharType="begin"/>
    </w:r>
    <w:r>
      <w:rPr>
        <w:b/>
      </w:rPr>
      <w:instrText>NUMPAGES</w:instrText>
    </w:r>
    <w:r>
      <w:rPr>
        <w:b/>
      </w:rPr>
      <w:fldChar w:fldCharType="separate"/>
    </w:r>
    <w:r w:rsidR="00FA7E85">
      <w:rPr>
        <w:b/>
        <w:noProof/>
      </w:rPr>
      <w:t>17</w:t>
    </w:r>
    <w:r>
      <w:rPr>
        <w:b/>
      </w:rPr>
      <w:fldChar w:fldCharType="end"/>
    </w:r>
  </w:p>
  <w:p w14:paraId="67EF487B" w14:textId="77777777" w:rsidR="00764EF4" w:rsidRDefault="00764EF4">
    <w:pPr>
      <w:pStyle w:val="Pidipa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CCE3D" w14:textId="77777777" w:rsidR="002B5499" w:rsidRDefault="002B5499" w:rsidP="00C91690">
      <w:r>
        <w:separator/>
      </w:r>
    </w:p>
  </w:footnote>
  <w:footnote w:type="continuationSeparator" w:id="0">
    <w:p w14:paraId="79F4541E" w14:textId="77777777" w:rsidR="002B5499" w:rsidRDefault="002B5499" w:rsidP="00C9169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99749" w14:textId="77777777" w:rsidR="00764EF4" w:rsidRPr="00C91690" w:rsidRDefault="00764EF4" w:rsidP="00DA36C2">
    <w:pPr>
      <w:rPr>
        <w:rFonts w:ascii="Lucida Calligraphy" w:hAnsi="Lucida Calligraphy"/>
        <w:sz w:val="20"/>
        <w:szCs w:val="20"/>
      </w:rPr>
    </w:pPr>
    <w:r w:rsidRPr="00C91690">
      <w:rPr>
        <w:rFonts w:ascii="Lucida Calligraphy" w:hAnsi="Lucida Calligraphy"/>
        <w:sz w:val="20"/>
        <w:szCs w:val="20"/>
      </w:rPr>
      <w:t>Avv. Maddalena Sisinni</w:t>
    </w:r>
    <w:r>
      <w:rPr>
        <w:rFonts w:ascii="Lucida Calligraphy" w:hAnsi="Lucida Calligraphy"/>
        <w:sz w:val="20"/>
        <w:szCs w:val="20"/>
      </w:rPr>
      <w:t xml:space="preserve">                                                        Avv. Giuliana Alati</w:t>
    </w:r>
  </w:p>
  <w:p w14:paraId="255D9015" w14:textId="77777777" w:rsidR="00764EF4" w:rsidRPr="00C91690" w:rsidRDefault="00764EF4" w:rsidP="00DA36C2">
    <w:pPr>
      <w:rPr>
        <w:rFonts w:ascii="Lucida Calligraphy" w:hAnsi="Lucida Calligraphy"/>
        <w:sz w:val="20"/>
        <w:szCs w:val="20"/>
      </w:rPr>
    </w:pPr>
    <w:r w:rsidRPr="00C91690">
      <w:rPr>
        <w:rFonts w:ascii="Lucida Calligraphy" w:hAnsi="Lucida Calligraphy"/>
        <w:sz w:val="20"/>
        <w:szCs w:val="20"/>
      </w:rPr>
      <w:t>Viale Giuseppe Verdi, 14/A</w:t>
    </w:r>
    <w:r>
      <w:rPr>
        <w:rFonts w:ascii="Lucida Calligraphy" w:hAnsi="Lucida Calligraphy"/>
        <w:sz w:val="20"/>
        <w:szCs w:val="20"/>
      </w:rPr>
      <w:t xml:space="preserve">                                                    via Piave, 125</w:t>
    </w:r>
  </w:p>
  <w:p w14:paraId="116D30D3" w14:textId="19D816C0" w:rsidR="00764EF4" w:rsidRPr="00C91690" w:rsidRDefault="00764EF4" w:rsidP="00DA36C2">
    <w:pPr>
      <w:rPr>
        <w:rFonts w:ascii="Lucida Calligraphy" w:hAnsi="Lucida Calligraphy"/>
        <w:sz w:val="20"/>
        <w:szCs w:val="20"/>
      </w:rPr>
    </w:pPr>
    <w:r w:rsidRPr="00C91690">
      <w:rPr>
        <w:rFonts w:ascii="Lucida Calligraphy" w:hAnsi="Lucida Calligraphy"/>
        <w:sz w:val="20"/>
        <w:szCs w:val="20"/>
      </w:rPr>
      <w:t>84131 SALERNO</w:t>
    </w:r>
    <w:r>
      <w:rPr>
        <w:rFonts w:ascii="Lucida Calligraphy" w:hAnsi="Lucida Calligraphy"/>
        <w:sz w:val="20"/>
        <w:szCs w:val="20"/>
      </w:rPr>
      <w:t xml:space="preserve">                                                               </w:t>
    </w:r>
    <w:r w:rsidR="000503DE">
      <w:rPr>
        <w:rFonts w:ascii="Lucida Calligraphy" w:hAnsi="Lucida Calligraphy"/>
        <w:sz w:val="20"/>
        <w:szCs w:val="20"/>
      </w:rPr>
      <w:t xml:space="preserve">       </w:t>
    </w:r>
    <w:r>
      <w:rPr>
        <w:rFonts w:ascii="Lucida Calligraphy" w:hAnsi="Lucida Calligraphy"/>
        <w:sz w:val="20"/>
        <w:szCs w:val="20"/>
      </w:rPr>
      <w:t>84083 CASTEL SAN GIORGIO (SA)</w:t>
    </w:r>
  </w:p>
  <w:p w14:paraId="24F6D529" w14:textId="11ED8E3B" w:rsidR="00764EF4" w:rsidRPr="00DA36C2" w:rsidRDefault="00764EF4" w:rsidP="00DA36C2">
    <w:pPr>
      <w:rPr>
        <w:rFonts w:ascii="Lucida Calligraphy" w:hAnsi="Lucida Calligraphy"/>
        <w:sz w:val="18"/>
        <w:szCs w:val="18"/>
      </w:rPr>
    </w:pPr>
    <w:r w:rsidRPr="00C91690">
      <w:rPr>
        <w:rFonts w:ascii="Lucida Calligraphy" w:hAnsi="Lucida Calligraphy"/>
        <w:sz w:val="20"/>
        <w:szCs w:val="20"/>
      </w:rPr>
      <w:t>TEL. 089.333328 FAX 089.2961654</w:t>
    </w:r>
    <w:r>
      <w:rPr>
        <w:rFonts w:ascii="Lucida Calligraphy" w:hAnsi="Lucida Calligraphy"/>
        <w:sz w:val="20"/>
        <w:szCs w:val="20"/>
      </w:rPr>
      <w:t xml:space="preserve">                                           </w:t>
    </w:r>
    <w:r w:rsidRPr="00DA36C2">
      <w:rPr>
        <w:rFonts w:ascii="Lucida Calligraphy" w:hAnsi="Lucida Calligraphy"/>
        <w:sz w:val="18"/>
        <w:szCs w:val="18"/>
      </w:rPr>
      <w:t>TEL. 081953364 Fax 0815162991   </w:t>
    </w:r>
  </w:p>
  <w:p w14:paraId="2C5C5CD0" w14:textId="0F03F7DA" w:rsidR="00764EF4" w:rsidRPr="00DA36C2" w:rsidRDefault="00764EF4" w:rsidP="00DA36C2">
    <w:pPr>
      <w:rPr>
        <w:rFonts w:ascii="Lucida Calligraphy" w:hAnsi="Lucida Calligraphy"/>
        <w:sz w:val="18"/>
        <w:szCs w:val="18"/>
      </w:rPr>
    </w:pPr>
    <w:r w:rsidRPr="00DA36C2">
      <w:rPr>
        <w:rFonts w:ascii="Lucida Calligraphy" w:hAnsi="Lucida Calligraphy"/>
        <w:sz w:val="18"/>
        <w:szCs w:val="18"/>
      </w:rPr>
      <w:t xml:space="preserve">CELL. 328.9542434                                                             </w:t>
    </w:r>
    <w:r w:rsidR="000503DE">
      <w:rPr>
        <w:rFonts w:ascii="Lucida Calligraphy" w:hAnsi="Lucida Calligraphy"/>
        <w:sz w:val="18"/>
        <w:szCs w:val="18"/>
      </w:rPr>
      <w:t xml:space="preserve">                 </w:t>
    </w:r>
    <w:r>
      <w:rPr>
        <w:rFonts w:ascii="Lucida Calligraphy" w:hAnsi="Lucida Calligraphy"/>
        <w:sz w:val="18"/>
        <w:szCs w:val="18"/>
      </w:rPr>
      <w:t>Cell.</w:t>
    </w:r>
    <w:r w:rsidRPr="00DA36C2">
      <w:rPr>
        <w:rFonts w:ascii="Lucida Calligraphy" w:hAnsi="Lucida Calligraphy"/>
        <w:sz w:val="18"/>
        <w:szCs w:val="18"/>
      </w:rPr>
      <w:t xml:space="preserve"> 3391237422</w:t>
    </w:r>
  </w:p>
  <w:p w14:paraId="6E616603" w14:textId="26480DFC" w:rsidR="00764EF4" w:rsidRPr="00DA36C2" w:rsidRDefault="00764EF4" w:rsidP="00DA36C2">
    <w:pPr>
      <w:rPr>
        <w:rFonts w:ascii="Lucida Calligraphy" w:hAnsi="Lucida Calligraphy"/>
        <w:sz w:val="18"/>
        <w:szCs w:val="18"/>
      </w:rPr>
    </w:pPr>
    <w:r w:rsidRPr="00DA36C2">
      <w:rPr>
        <w:rFonts w:ascii="Lucida Calligraphy" w:hAnsi="Lucida Calligraphy"/>
        <w:sz w:val="18"/>
        <w:szCs w:val="18"/>
      </w:rPr>
      <w:t xml:space="preserve">Pec </w:t>
    </w:r>
    <w:hyperlink r:id="rId1" w:history="1">
      <w:r w:rsidRPr="00DA36C2">
        <w:rPr>
          <w:rFonts w:ascii="Lucida Calligraphy" w:hAnsi="Lucida Calligraphy"/>
          <w:sz w:val="18"/>
          <w:szCs w:val="18"/>
        </w:rPr>
        <w:t>avvmaddalenasisinni@pec.ordineforense.salerno.it</w:t>
      </w:r>
    </w:hyperlink>
    <w:r w:rsidRPr="00DA36C2">
      <w:rPr>
        <w:rFonts w:ascii="Lucida Calligraphy" w:hAnsi="Lucida Calligraphy"/>
        <w:sz w:val="18"/>
        <w:szCs w:val="18"/>
      </w:rPr>
      <w:t xml:space="preserve">  </w:t>
    </w:r>
    <w:r>
      <w:rPr>
        <w:rFonts w:ascii="Lucida Calligraphy" w:hAnsi="Lucida Calligraphy"/>
        <w:sz w:val="18"/>
        <w:szCs w:val="18"/>
      </w:rPr>
      <w:t xml:space="preserve">               </w:t>
    </w:r>
    <w:r w:rsidRPr="00DA36C2">
      <w:rPr>
        <w:rFonts w:ascii="Lucida Calligraphy" w:hAnsi="Lucida Calligraphy"/>
        <w:sz w:val="18"/>
        <w:szCs w:val="18"/>
      </w:rPr>
      <w:t xml:space="preserve"> </w:t>
    </w:r>
    <w:r w:rsidR="000503DE">
      <w:rPr>
        <w:rFonts w:ascii="Lucida Calligraphy" w:hAnsi="Lucida Calligraphy"/>
        <w:sz w:val="18"/>
        <w:szCs w:val="18"/>
      </w:rPr>
      <w:t xml:space="preserve"> </w:t>
    </w:r>
    <w:r w:rsidRPr="00DA36C2">
      <w:rPr>
        <w:rFonts w:ascii="Lucida Calligraphy" w:hAnsi="Lucida Calligraphy"/>
        <w:sz w:val="18"/>
        <w:szCs w:val="18"/>
      </w:rPr>
      <w:t xml:space="preserve">Pec: </w:t>
    </w:r>
    <w:hyperlink r:id="rId2" w:tooltip="g.alati@avvocatinocera-pec.it" w:history="1">
      <w:r w:rsidRPr="00DA36C2">
        <w:rPr>
          <w:rFonts w:ascii="Lucida Calligraphy" w:hAnsi="Lucida Calligraphy"/>
          <w:sz w:val="18"/>
          <w:szCs w:val="18"/>
        </w:rPr>
        <w:t>g.alati@avvocatinocera-pec.it</w:t>
      </w:r>
    </w:hyperlink>
  </w:p>
  <w:p w14:paraId="299361C0" w14:textId="77777777" w:rsidR="00764EF4" w:rsidRPr="00C91690" w:rsidRDefault="00764EF4" w:rsidP="00DA36C2">
    <w:pPr>
      <w:pStyle w:val="Intestazione"/>
      <w:rPr>
        <w:sz w:val="20"/>
        <w:szCs w:val="2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F485A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8840192"/>
    <w:lvl w:ilvl="0" w:tplc="00CC0A7A">
      <w:numFmt w:val="bullet"/>
      <w:lvlText w:val="-"/>
      <w:lvlJc w:val="left"/>
      <w:pPr>
        <w:ind w:left="720"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4"/>
    <w:multiLevelType w:val="hybridMultilevel"/>
    <w:tmpl w:val="FD926548"/>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D257C9D"/>
    <w:multiLevelType w:val="hybridMultilevel"/>
    <w:tmpl w:val="EB92F9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F474364"/>
    <w:multiLevelType w:val="hybridMultilevel"/>
    <w:tmpl w:val="D220BEAA"/>
    <w:lvl w:ilvl="0" w:tplc="7D825AB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ABC4B6A"/>
    <w:multiLevelType w:val="hybridMultilevel"/>
    <w:tmpl w:val="5566A2B0"/>
    <w:lvl w:ilvl="0" w:tplc="04100013">
      <w:start w:val="1"/>
      <w:numFmt w:val="upperRoman"/>
      <w:lvlText w:val="%1."/>
      <w:lvlJc w:val="right"/>
      <w:pPr>
        <w:ind w:left="1222" w:hanging="360"/>
      </w:pPr>
    </w:lvl>
    <w:lvl w:ilvl="1" w:tplc="04100019" w:tentative="1">
      <w:start w:val="1"/>
      <w:numFmt w:val="lowerLetter"/>
      <w:lvlText w:val="%2."/>
      <w:lvlJc w:val="left"/>
      <w:pPr>
        <w:ind w:left="1942" w:hanging="360"/>
      </w:pPr>
    </w:lvl>
    <w:lvl w:ilvl="2" w:tplc="0410001B" w:tentative="1">
      <w:start w:val="1"/>
      <w:numFmt w:val="lowerRoman"/>
      <w:lvlText w:val="%3."/>
      <w:lvlJc w:val="right"/>
      <w:pPr>
        <w:ind w:left="2662" w:hanging="180"/>
      </w:pPr>
    </w:lvl>
    <w:lvl w:ilvl="3" w:tplc="0410000F" w:tentative="1">
      <w:start w:val="1"/>
      <w:numFmt w:val="decimal"/>
      <w:lvlText w:val="%4."/>
      <w:lvlJc w:val="left"/>
      <w:pPr>
        <w:ind w:left="3382" w:hanging="360"/>
      </w:pPr>
    </w:lvl>
    <w:lvl w:ilvl="4" w:tplc="04100019" w:tentative="1">
      <w:start w:val="1"/>
      <w:numFmt w:val="lowerLetter"/>
      <w:lvlText w:val="%5."/>
      <w:lvlJc w:val="left"/>
      <w:pPr>
        <w:ind w:left="4102" w:hanging="360"/>
      </w:pPr>
    </w:lvl>
    <w:lvl w:ilvl="5" w:tplc="0410001B" w:tentative="1">
      <w:start w:val="1"/>
      <w:numFmt w:val="lowerRoman"/>
      <w:lvlText w:val="%6."/>
      <w:lvlJc w:val="right"/>
      <w:pPr>
        <w:ind w:left="4822" w:hanging="180"/>
      </w:pPr>
    </w:lvl>
    <w:lvl w:ilvl="6" w:tplc="0410000F" w:tentative="1">
      <w:start w:val="1"/>
      <w:numFmt w:val="decimal"/>
      <w:lvlText w:val="%7."/>
      <w:lvlJc w:val="left"/>
      <w:pPr>
        <w:ind w:left="5542" w:hanging="360"/>
      </w:pPr>
    </w:lvl>
    <w:lvl w:ilvl="7" w:tplc="04100019" w:tentative="1">
      <w:start w:val="1"/>
      <w:numFmt w:val="lowerLetter"/>
      <w:lvlText w:val="%8."/>
      <w:lvlJc w:val="left"/>
      <w:pPr>
        <w:ind w:left="6262" w:hanging="360"/>
      </w:pPr>
    </w:lvl>
    <w:lvl w:ilvl="8" w:tplc="0410001B" w:tentative="1">
      <w:start w:val="1"/>
      <w:numFmt w:val="lowerRoman"/>
      <w:lvlText w:val="%9."/>
      <w:lvlJc w:val="right"/>
      <w:pPr>
        <w:ind w:left="6982" w:hanging="180"/>
      </w:pPr>
    </w:lvl>
  </w:abstractNum>
  <w:abstractNum w:abstractNumId="8">
    <w:nsid w:val="1FE01119"/>
    <w:multiLevelType w:val="hybridMultilevel"/>
    <w:tmpl w:val="1E1C6F02"/>
    <w:lvl w:ilvl="0" w:tplc="04100001">
      <w:start w:val="1"/>
      <w:numFmt w:val="bullet"/>
      <w:lvlText w:val=""/>
      <w:lvlJc w:val="left"/>
      <w:pPr>
        <w:ind w:left="1789" w:hanging="360"/>
      </w:pPr>
      <w:rPr>
        <w:rFonts w:ascii="Symbol" w:hAnsi="Symbol" w:hint="default"/>
      </w:rPr>
    </w:lvl>
    <w:lvl w:ilvl="1" w:tplc="04100003" w:tentative="1">
      <w:start w:val="1"/>
      <w:numFmt w:val="bullet"/>
      <w:lvlText w:val="o"/>
      <w:lvlJc w:val="left"/>
      <w:pPr>
        <w:ind w:left="2509" w:hanging="360"/>
      </w:pPr>
      <w:rPr>
        <w:rFonts w:ascii="Courier New" w:hAnsi="Courier New" w:cs="Courier New" w:hint="default"/>
      </w:rPr>
    </w:lvl>
    <w:lvl w:ilvl="2" w:tplc="04100005" w:tentative="1">
      <w:start w:val="1"/>
      <w:numFmt w:val="bullet"/>
      <w:lvlText w:val=""/>
      <w:lvlJc w:val="left"/>
      <w:pPr>
        <w:ind w:left="3229" w:hanging="360"/>
      </w:pPr>
      <w:rPr>
        <w:rFonts w:ascii="Wingdings" w:hAnsi="Wingdings" w:hint="default"/>
      </w:rPr>
    </w:lvl>
    <w:lvl w:ilvl="3" w:tplc="04100001" w:tentative="1">
      <w:start w:val="1"/>
      <w:numFmt w:val="bullet"/>
      <w:lvlText w:val=""/>
      <w:lvlJc w:val="left"/>
      <w:pPr>
        <w:ind w:left="3949" w:hanging="360"/>
      </w:pPr>
      <w:rPr>
        <w:rFonts w:ascii="Symbol" w:hAnsi="Symbol" w:hint="default"/>
      </w:rPr>
    </w:lvl>
    <w:lvl w:ilvl="4" w:tplc="04100003" w:tentative="1">
      <w:start w:val="1"/>
      <w:numFmt w:val="bullet"/>
      <w:lvlText w:val="o"/>
      <w:lvlJc w:val="left"/>
      <w:pPr>
        <w:ind w:left="4669" w:hanging="360"/>
      </w:pPr>
      <w:rPr>
        <w:rFonts w:ascii="Courier New" w:hAnsi="Courier New" w:cs="Courier New" w:hint="default"/>
      </w:rPr>
    </w:lvl>
    <w:lvl w:ilvl="5" w:tplc="04100005" w:tentative="1">
      <w:start w:val="1"/>
      <w:numFmt w:val="bullet"/>
      <w:lvlText w:val=""/>
      <w:lvlJc w:val="left"/>
      <w:pPr>
        <w:ind w:left="5389" w:hanging="360"/>
      </w:pPr>
      <w:rPr>
        <w:rFonts w:ascii="Wingdings" w:hAnsi="Wingdings" w:hint="default"/>
      </w:rPr>
    </w:lvl>
    <w:lvl w:ilvl="6" w:tplc="04100001" w:tentative="1">
      <w:start w:val="1"/>
      <w:numFmt w:val="bullet"/>
      <w:lvlText w:val=""/>
      <w:lvlJc w:val="left"/>
      <w:pPr>
        <w:ind w:left="6109" w:hanging="360"/>
      </w:pPr>
      <w:rPr>
        <w:rFonts w:ascii="Symbol" w:hAnsi="Symbol" w:hint="default"/>
      </w:rPr>
    </w:lvl>
    <w:lvl w:ilvl="7" w:tplc="04100003" w:tentative="1">
      <w:start w:val="1"/>
      <w:numFmt w:val="bullet"/>
      <w:lvlText w:val="o"/>
      <w:lvlJc w:val="left"/>
      <w:pPr>
        <w:ind w:left="6829" w:hanging="360"/>
      </w:pPr>
      <w:rPr>
        <w:rFonts w:ascii="Courier New" w:hAnsi="Courier New" w:cs="Courier New" w:hint="default"/>
      </w:rPr>
    </w:lvl>
    <w:lvl w:ilvl="8" w:tplc="04100005" w:tentative="1">
      <w:start w:val="1"/>
      <w:numFmt w:val="bullet"/>
      <w:lvlText w:val=""/>
      <w:lvlJc w:val="left"/>
      <w:pPr>
        <w:ind w:left="7549" w:hanging="360"/>
      </w:pPr>
      <w:rPr>
        <w:rFonts w:ascii="Wingdings" w:hAnsi="Wingdings" w:hint="default"/>
      </w:rPr>
    </w:lvl>
  </w:abstractNum>
  <w:abstractNum w:abstractNumId="9">
    <w:nsid w:val="22B06BE5"/>
    <w:multiLevelType w:val="hybridMultilevel"/>
    <w:tmpl w:val="422275AE"/>
    <w:lvl w:ilvl="0" w:tplc="27C29BD2">
      <w:start w:val="1"/>
      <w:numFmt w:val="decimal"/>
      <w:lvlText w:val="%1)"/>
      <w:lvlJc w:val="left"/>
      <w:pPr>
        <w:ind w:left="436" w:hanging="360"/>
      </w:pPr>
      <w:rPr>
        <w:rFonts w:hint="default"/>
      </w:rPr>
    </w:lvl>
    <w:lvl w:ilvl="1" w:tplc="04100019" w:tentative="1">
      <w:start w:val="1"/>
      <w:numFmt w:val="lowerLetter"/>
      <w:lvlText w:val="%2."/>
      <w:lvlJc w:val="left"/>
      <w:pPr>
        <w:ind w:left="1156" w:hanging="360"/>
      </w:pPr>
    </w:lvl>
    <w:lvl w:ilvl="2" w:tplc="0410001B" w:tentative="1">
      <w:start w:val="1"/>
      <w:numFmt w:val="lowerRoman"/>
      <w:lvlText w:val="%3."/>
      <w:lvlJc w:val="right"/>
      <w:pPr>
        <w:ind w:left="1876" w:hanging="180"/>
      </w:pPr>
    </w:lvl>
    <w:lvl w:ilvl="3" w:tplc="0410000F" w:tentative="1">
      <w:start w:val="1"/>
      <w:numFmt w:val="decimal"/>
      <w:lvlText w:val="%4."/>
      <w:lvlJc w:val="left"/>
      <w:pPr>
        <w:ind w:left="2596" w:hanging="360"/>
      </w:pPr>
    </w:lvl>
    <w:lvl w:ilvl="4" w:tplc="04100019" w:tentative="1">
      <w:start w:val="1"/>
      <w:numFmt w:val="lowerLetter"/>
      <w:lvlText w:val="%5."/>
      <w:lvlJc w:val="left"/>
      <w:pPr>
        <w:ind w:left="3316" w:hanging="360"/>
      </w:pPr>
    </w:lvl>
    <w:lvl w:ilvl="5" w:tplc="0410001B" w:tentative="1">
      <w:start w:val="1"/>
      <w:numFmt w:val="lowerRoman"/>
      <w:lvlText w:val="%6."/>
      <w:lvlJc w:val="right"/>
      <w:pPr>
        <w:ind w:left="4036" w:hanging="180"/>
      </w:pPr>
    </w:lvl>
    <w:lvl w:ilvl="6" w:tplc="0410000F" w:tentative="1">
      <w:start w:val="1"/>
      <w:numFmt w:val="decimal"/>
      <w:lvlText w:val="%7."/>
      <w:lvlJc w:val="left"/>
      <w:pPr>
        <w:ind w:left="4756" w:hanging="360"/>
      </w:pPr>
    </w:lvl>
    <w:lvl w:ilvl="7" w:tplc="04100019" w:tentative="1">
      <w:start w:val="1"/>
      <w:numFmt w:val="lowerLetter"/>
      <w:lvlText w:val="%8."/>
      <w:lvlJc w:val="left"/>
      <w:pPr>
        <w:ind w:left="5476" w:hanging="360"/>
      </w:pPr>
    </w:lvl>
    <w:lvl w:ilvl="8" w:tplc="0410001B" w:tentative="1">
      <w:start w:val="1"/>
      <w:numFmt w:val="lowerRoman"/>
      <w:lvlText w:val="%9."/>
      <w:lvlJc w:val="right"/>
      <w:pPr>
        <w:ind w:left="6196" w:hanging="180"/>
      </w:pPr>
    </w:lvl>
  </w:abstractNum>
  <w:abstractNum w:abstractNumId="10">
    <w:nsid w:val="31873A9D"/>
    <w:multiLevelType w:val="hybridMultilevel"/>
    <w:tmpl w:val="3702C864"/>
    <w:lvl w:ilvl="0" w:tplc="C29426C2">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2616ED1"/>
    <w:multiLevelType w:val="singleLevel"/>
    <w:tmpl w:val="3142351C"/>
    <w:lvl w:ilvl="0">
      <w:start w:val="1"/>
      <w:numFmt w:val="decimal"/>
      <w:lvlText w:val="%1."/>
      <w:lvlJc w:val="left"/>
      <w:pPr>
        <w:tabs>
          <w:tab w:val="num" w:pos="927"/>
        </w:tabs>
        <w:ind w:left="927" w:hanging="360"/>
      </w:pPr>
      <w:rPr>
        <w:rFonts w:hint="default"/>
      </w:rPr>
    </w:lvl>
  </w:abstractNum>
  <w:abstractNum w:abstractNumId="12">
    <w:nsid w:val="37557825"/>
    <w:multiLevelType w:val="hybridMultilevel"/>
    <w:tmpl w:val="685AC206"/>
    <w:lvl w:ilvl="0" w:tplc="921CC030">
      <w:start w:val="5"/>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75F082E"/>
    <w:multiLevelType w:val="hybridMultilevel"/>
    <w:tmpl w:val="1444DEF2"/>
    <w:lvl w:ilvl="0" w:tplc="04100009">
      <w:start w:val="1"/>
      <w:numFmt w:val="bullet"/>
      <w:lvlText w:val=""/>
      <w:lvlJc w:val="left"/>
      <w:pPr>
        <w:ind w:left="1914" w:hanging="360"/>
      </w:pPr>
      <w:rPr>
        <w:rFonts w:ascii="Wingdings" w:hAnsi="Wingdings" w:hint="default"/>
      </w:rPr>
    </w:lvl>
    <w:lvl w:ilvl="1" w:tplc="04100003" w:tentative="1">
      <w:start w:val="1"/>
      <w:numFmt w:val="bullet"/>
      <w:lvlText w:val="o"/>
      <w:lvlJc w:val="left"/>
      <w:pPr>
        <w:ind w:left="2634" w:hanging="360"/>
      </w:pPr>
      <w:rPr>
        <w:rFonts w:ascii="Courier New" w:hAnsi="Courier New" w:cs="Courier New" w:hint="default"/>
      </w:rPr>
    </w:lvl>
    <w:lvl w:ilvl="2" w:tplc="04100005" w:tentative="1">
      <w:start w:val="1"/>
      <w:numFmt w:val="bullet"/>
      <w:lvlText w:val=""/>
      <w:lvlJc w:val="left"/>
      <w:pPr>
        <w:ind w:left="3354" w:hanging="360"/>
      </w:pPr>
      <w:rPr>
        <w:rFonts w:ascii="Wingdings" w:hAnsi="Wingdings" w:hint="default"/>
      </w:rPr>
    </w:lvl>
    <w:lvl w:ilvl="3" w:tplc="04100001" w:tentative="1">
      <w:start w:val="1"/>
      <w:numFmt w:val="bullet"/>
      <w:lvlText w:val=""/>
      <w:lvlJc w:val="left"/>
      <w:pPr>
        <w:ind w:left="4074" w:hanging="360"/>
      </w:pPr>
      <w:rPr>
        <w:rFonts w:ascii="Symbol" w:hAnsi="Symbol" w:hint="default"/>
      </w:rPr>
    </w:lvl>
    <w:lvl w:ilvl="4" w:tplc="04100003" w:tentative="1">
      <w:start w:val="1"/>
      <w:numFmt w:val="bullet"/>
      <w:lvlText w:val="o"/>
      <w:lvlJc w:val="left"/>
      <w:pPr>
        <w:ind w:left="4794" w:hanging="360"/>
      </w:pPr>
      <w:rPr>
        <w:rFonts w:ascii="Courier New" w:hAnsi="Courier New" w:cs="Courier New" w:hint="default"/>
      </w:rPr>
    </w:lvl>
    <w:lvl w:ilvl="5" w:tplc="04100005" w:tentative="1">
      <w:start w:val="1"/>
      <w:numFmt w:val="bullet"/>
      <w:lvlText w:val=""/>
      <w:lvlJc w:val="left"/>
      <w:pPr>
        <w:ind w:left="5514" w:hanging="360"/>
      </w:pPr>
      <w:rPr>
        <w:rFonts w:ascii="Wingdings" w:hAnsi="Wingdings" w:hint="default"/>
      </w:rPr>
    </w:lvl>
    <w:lvl w:ilvl="6" w:tplc="04100001" w:tentative="1">
      <w:start w:val="1"/>
      <w:numFmt w:val="bullet"/>
      <w:lvlText w:val=""/>
      <w:lvlJc w:val="left"/>
      <w:pPr>
        <w:ind w:left="6234" w:hanging="360"/>
      </w:pPr>
      <w:rPr>
        <w:rFonts w:ascii="Symbol" w:hAnsi="Symbol" w:hint="default"/>
      </w:rPr>
    </w:lvl>
    <w:lvl w:ilvl="7" w:tplc="04100003" w:tentative="1">
      <w:start w:val="1"/>
      <w:numFmt w:val="bullet"/>
      <w:lvlText w:val="o"/>
      <w:lvlJc w:val="left"/>
      <w:pPr>
        <w:ind w:left="6954" w:hanging="360"/>
      </w:pPr>
      <w:rPr>
        <w:rFonts w:ascii="Courier New" w:hAnsi="Courier New" w:cs="Courier New" w:hint="default"/>
      </w:rPr>
    </w:lvl>
    <w:lvl w:ilvl="8" w:tplc="04100005" w:tentative="1">
      <w:start w:val="1"/>
      <w:numFmt w:val="bullet"/>
      <w:lvlText w:val=""/>
      <w:lvlJc w:val="left"/>
      <w:pPr>
        <w:ind w:left="7674" w:hanging="360"/>
      </w:pPr>
      <w:rPr>
        <w:rFonts w:ascii="Wingdings" w:hAnsi="Wingdings" w:hint="default"/>
      </w:rPr>
    </w:lvl>
  </w:abstractNum>
  <w:abstractNum w:abstractNumId="14">
    <w:nsid w:val="3C460765"/>
    <w:multiLevelType w:val="singleLevel"/>
    <w:tmpl w:val="00CC0A7A"/>
    <w:lvl w:ilvl="0">
      <w:numFmt w:val="bullet"/>
      <w:lvlText w:val="-"/>
      <w:lvlJc w:val="left"/>
      <w:pPr>
        <w:tabs>
          <w:tab w:val="num" w:pos="360"/>
        </w:tabs>
        <w:ind w:left="360" w:hanging="360"/>
      </w:pPr>
      <w:rPr>
        <w:rFonts w:hint="default"/>
      </w:rPr>
    </w:lvl>
  </w:abstractNum>
  <w:abstractNum w:abstractNumId="15">
    <w:nsid w:val="49A62110"/>
    <w:multiLevelType w:val="hybridMultilevel"/>
    <w:tmpl w:val="6262BB78"/>
    <w:lvl w:ilvl="0" w:tplc="92901A9E">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6">
    <w:nsid w:val="4BD62453"/>
    <w:multiLevelType w:val="singleLevel"/>
    <w:tmpl w:val="00CC0A7A"/>
    <w:lvl w:ilvl="0">
      <w:numFmt w:val="bullet"/>
      <w:lvlText w:val="-"/>
      <w:lvlJc w:val="left"/>
      <w:pPr>
        <w:tabs>
          <w:tab w:val="num" w:pos="360"/>
        </w:tabs>
        <w:ind w:left="360" w:hanging="360"/>
      </w:pPr>
      <w:rPr>
        <w:rFonts w:hint="default"/>
      </w:rPr>
    </w:lvl>
  </w:abstractNum>
  <w:abstractNum w:abstractNumId="17">
    <w:nsid w:val="5583420B"/>
    <w:multiLevelType w:val="hybridMultilevel"/>
    <w:tmpl w:val="6262BB78"/>
    <w:lvl w:ilvl="0" w:tplc="92901A9E">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8">
    <w:nsid w:val="66DB32C2"/>
    <w:multiLevelType w:val="hybridMultilevel"/>
    <w:tmpl w:val="6262BB78"/>
    <w:lvl w:ilvl="0" w:tplc="92901A9E">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9">
    <w:nsid w:val="68490735"/>
    <w:multiLevelType w:val="hybridMultilevel"/>
    <w:tmpl w:val="6262BB78"/>
    <w:lvl w:ilvl="0" w:tplc="92901A9E">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0">
    <w:nsid w:val="715E764B"/>
    <w:multiLevelType w:val="hybridMultilevel"/>
    <w:tmpl w:val="A20295F0"/>
    <w:lvl w:ilvl="0" w:tplc="FB24482E">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77DA3193"/>
    <w:multiLevelType w:val="hybridMultilevel"/>
    <w:tmpl w:val="933A9C04"/>
    <w:lvl w:ilvl="0" w:tplc="892841EE">
      <w:start w:val="4"/>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BFD59B2"/>
    <w:multiLevelType w:val="hybridMultilevel"/>
    <w:tmpl w:val="5C12A57A"/>
    <w:lvl w:ilvl="0" w:tplc="FE5CBC32">
      <w:start w:val="4"/>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F815071"/>
    <w:multiLevelType w:val="hybridMultilevel"/>
    <w:tmpl w:val="9288CEAE"/>
    <w:lvl w:ilvl="0" w:tplc="04100019">
      <w:start w:val="1"/>
      <w:numFmt w:val="low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num w:numId="1">
    <w:abstractNumId w:val="16"/>
  </w:num>
  <w:num w:numId="2">
    <w:abstractNumId w:val="15"/>
  </w:num>
  <w:num w:numId="3">
    <w:abstractNumId w:val="19"/>
  </w:num>
  <w:num w:numId="4">
    <w:abstractNumId w:val="18"/>
  </w:num>
  <w:num w:numId="5">
    <w:abstractNumId w:val="8"/>
  </w:num>
  <w:num w:numId="6">
    <w:abstractNumId w:val="17"/>
  </w:num>
  <w:num w:numId="7">
    <w:abstractNumId w:val="5"/>
  </w:num>
  <w:num w:numId="8">
    <w:abstractNumId w:val="23"/>
  </w:num>
  <w:num w:numId="9">
    <w:abstractNumId w:val="14"/>
  </w:num>
  <w:num w:numId="10">
    <w:abstractNumId w:val="11"/>
  </w:num>
  <w:num w:numId="11">
    <w:abstractNumId w:val="7"/>
  </w:num>
  <w:num w:numId="12">
    <w:abstractNumId w:val="0"/>
  </w:num>
  <w:num w:numId="13">
    <w:abstractNumId w:val="13"/>
  </w:num>
  <w:num w:numId="14">
    <w:abstractNumId w:val="1"/>
  </w:num>
  <w:num w:numId="15">
    <w:abstractNumId w:val="2"/>
  </w:num>
  <w:num w:numId="16">
    <w:abstractNumId w:val="3"/>
  </w:num>
  <w:num w:numId="17">
    <w:abstractNumId w:val="4"/>
  </w:num>
  <w:num w:numId="18">
    <w:abstractNumId w:val="6"/>
  </w:num>
  <w:num w:numId="19">
    <w:abstractNumId w:val="9"/>
  </w:num>
  <w:num w:numId="20">
    <w:abstractNumId w:val="22"/>
  </w:num>
  <w:num w:numId="21">
    <w:abstractNumId w:val="21"/>
  </w:num>
  <w:num w:numId="22">
    <w:abstractNumId w:val="12"/>
  </w:num>
  <w:num w:numId="23">
    <w:abstractNumId w:val="10"/>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activeWritingStyle w:appName="MSWord" w:lang="it-IT" w:vendorID="64" w:dllVersion="131078" w:nlCheck="1" w:checkStyle="0"/>
  <w:defaultTabStop w:val="708"/>
  <w:hyphenationZone w:val="283"/>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690"/>
    <w:rsid w:val="000105ED"/>
    <w:rsid w:val="00014238"/>
    <w:rsid w:val="000167E6"/>
    <w:rsid w:val="000479B6"/>
    <w:rsid w:val="000503DE"/>
    <w:rsid w:val="000551E6"/>
    <w:rsid w:val="00055A8F"/>
    <w:rsid w:val="00064069"/>
    <w:rsid w:val="00083F71"/>
    <w:rsid w:val="0009525A"/>
    <w:rsid w:val="00095C12"/>
    <w:rsid w:val="00096CB6"/>
    <w:rsid w:val="000B4B72"/>
    <w:rsid w:val="000C1BAB"/>
    <w:rsid w:val="000D2DF1"/>
    <w:rsid w:val="000E314C"/>
    <w:rsid w:val="00181454"/>
    <w:rsid w:val="001900E4"/>
    <w:rsid w:val="001926DB"/>
    <w:rsid w:val="00195FD8"/>
    <w:rsid w:val="001A4E71"/>
    <w:rsid w:val="001A795F"/>
    <w:rsid w:val="001B3454"/>
    <w:rsid w:val="001D4B5F"/>
    <w:rsid w:val="001E0E15"/>
    <w:rsid w:val="001F5FFA"/>
    <w:rsid w:val="00200F9F"/>
    <w:rsid w:val="00205BCD"/>
    <w:rsid w:val="0021387F"/>
    <w:rsid w:val="0021422C"/>
    <w:rsid w:val="00221D3A"/>
    <w:rsid w:val="0023563F"/>
    <w:rsid w:val="0024603C"/>
    <w:rsid w:val="00263291"/>
    <w:rsid w:val="002666CC"/>
    <w:rsid w:val="00274C82"/>
    <w:rsid w:val="002B3236"/>
    <w:rsid w:val="002B5499"/>
    <w:rsid w:val="002F3AD8"/>
    <w:rsid w:val="002F423C"/>
    <w:rsid w:val="003075D3"/>
    <w:rsid w:val="00320730"/>
    <w:rsid w:val="00330658"/>
    <w:rsid w:val="00334A52"/>
    <w:rsid w:val="00347C88"/>
    <w:rsid w:val="00354A97"/>
    <w:rsid w:val="00361412"/>
    <w:rsid w:val="00362FB1"/>
    <w:rsid w:val="00373F45"/>
    <w:rsid w:val="003A247F"/>
    <w:rsid w:val="003C1DBF"/>
    <w:rsid w:val="003C472E"/>
    <w:rsid w:val="00403E01"/>
    <w:rsid w:val="00424965"/>
    <w:rsid w:val="00426FE0"/>
    <w:rsid w:val="004344BE"/>
    <w:rsid w:val="0046126F"/>
    <w:rsid w:val="004A7AE3"/>
    <w:rsid w:val="004B7E79"/>
    <w:rsid w:val="004C2547"/>
    <w:rsid w:val="004D5126"/>
    <w:rsid w:val="004D6F31"/>
    <w:rsid w:val="004D7A77"/>
    <w:rsid w:val="004F0729"/>
    <w:rsid w:val="00502C5C"/>
    <w:rsid w:val="00515442"/>
    <w:rsid w:val="00520952"/>
    <w:rsid w:val="005224D0"/>
    <w:rsid w:val="005302E9"/>
    <w:rsid w:val="0054186D"/>
    <w:rsid w:val="0054521D"/>
    <w:rsid w:val="0055777F"/>
    <w:rsid w:val="0056268B"/>
    <w:rsid w:val="00587BDC"/>
    <w:rsid w:val="005C2AB8"/>
    <w:rsid w:val="005C41C7"/>
    <w:rsid w:val="005E43DB"/>
    <w:rsid w:val="005E52EE"/>
    <w:rsid w:val="005E6FCF"/>
    <w:rsid w:val="0061237F"/>
    <w:rsid w:val="00612CC1"/>
    <w:rsid w:val="006246F7"/>
    <w:rsid w:val="0063037D"/>
    <w:rsid w:val="0063132D"/>
    <w:rsid w:val="00634F21"/>
    <w:rsid w:val="006355BD"/>
    <w:rsid w:val="00650350"/>
    <w:rsid w:val="00651538"/>
    <w:rsid w:val="006622EE"/>
    <w:rsid w:val="00666078"/>
    <w:rsid w:val="006A3163"/>
    <w:rsid w:val="006B73BA"/>
    <w:rsid w:val="006C0C50"/>
    <w:rsid w:val="006C1774"/>
    <w:rsid w:val="006E11ED"/>
    <w:rsid w:val="007323D3"/>
    <w:rsid w:val="00751F12"/>
    <w:rsid w:val="007614E7"/>
    <w:rsid w:val="00763A5E"/>
    <w:rsid w:val="007648C0"/>
    <w:rsid w:val="00764EF4"/>
    <w:rsid w:val="00775689"/>
    <w:rsid w:val="00777AF3"/>
    <w:rsid w:val="0078367E"/>
    <w:rsid w:val="007963D9"/>
    <w:rsid w:val="007A74B5"/>
    <w:rsid w:val="007C55EA"/>
    <w:rsid w:val="007C63BC"/>
    <w:rsid w:val="007D574F"/>
    <w:rsid w:val="007F25AC"/>
    <w:rsid w:val="007F5A1A"/>
    <w:rsid w:val="007F69E2"/>
    <w:rsid w:val="007F7238"/>
    <w:rsid w:val="0080417E"/>
    <w:rsid w:val="00847E30"/>
    <w:rsid w:val="008568A6"/>
    <w:rsid w:val="00864817"/>
    <w:rsid w:val="00865AAB"/>
    <w:rsid w:val="008803FD"/>
    <w:rsid w:val="0089741C"/>
    <w:rsid w:val="008A6B24"/>
    <w:rsid w:val="008B536C"/>
    <w:rsid w:val="008C1465"/>
    <w:rsid w:val="008C3546"/>
    <w:rsid w:val="008C4DD0"/>
    <w:rsid w:val="008E281A"/>
    <w:rsid w:val="008E6074"/>
    <w:rsid w:val="008E7BD4"/>
    <w:rsid w:val="00904468"/>
    <w:rsid w:val="009129BC"/>
    <w:rsid w:val="00934998"/>
    <w:rsid w:val="00937AE7"/>
    <w:rsid w:val="009922E4"/>
    <w:rsid w:val="00995EBF"/>
    <w:rsid w:val="009A142A"/>
    <w:rsid w:val="009A231D"/>
    <w:rsid w:val="009B3B30"/>
    <w:rsid w:val="009C6A48"/>
    <w:rsid w:val="009E0E78"/>
    <w:rsid w:val="009E4BD6"/>
    <w:rsid w:val="009E7DD8"/>
    <w:rsid w:val="009F29A1"/>
    <w:rsid w:val="00A07F2A"/>
    <w:rsid w:val="00A13898"/>
    <w:rsid w:val="00A13B41"/>
    <w:rsid w:val="00A212BD"/>
    <w:rsid w:val="00A2358C"/>
    <w:rsid w:val="00A36935"/>
    <w:rsid w:val="00A64489"/>
    <w:rsid w:val="00A7702D"/>
    <w:rsid w:val="00A77797"/>
    <w:rsid w:val="00A862C4"/>
    <w:rsid w:val="00A97E9B"/>
    <w:rsid w:val="00AA72A5"/>
    <w:rsid w:val="00AB3073"/>
    <w:rsid w:val="00AD149C"/>
    <w:rsid w:val="00AD78BD"/>
    <w:rsid w:val="00AE66C0"/>
    <w:rsid w:val="00AF0B38"/>
    <w:rsid w:val="00B02396"/>
    <w:rsid w:val="00B23E4C"/>
    <w:rsid w:val="00B26D94"/>
    <w:rsid w:val="00B31147"/>
    <w:rsid w:val="00B37D43"/>
    <w:rsid w:val="00B67D2D"/>
    <w:rsid w:val="00BA26CB"/>
    <w:rsid w:val="00BA5AA2"/>
    <w:rsid w:val="00BD47F7"/>
    <w:rsid w:val="00BD559C"/>
    <w:rsid w:val="00BE48A4"/>
    <w:rsid w:val="00BE6B8F"/>
    <w:rsid w:val="00BF27E5"/>
    <w:rsid w:val="00C2542C"/>
    <w:rsid w:val="00C31129"/>
    <w:rsid w:val="00C37E6A"/>
    <w:rsid w:val="00C71AEC"/>
    <w:rsid w:val="00C77364"/>
    <w:rsid w:val="00C86D8D"/>
    <w:rsid w:val="00C91690"/>
    <w:rsid w:val="00CD6519"/>
    <w:rsid w:val="00D018C0"/>
    <w:rsid w:val="00D179C7"/>
    <w:rsid w:val="00D416EA"/>
    <w:rsid w:val="00D465E8"/>
    <w:rsid w:val="00D84772"/>
    <w:rsid w:val="00D90F6B"/>
    <w:rsid w:val="00D95060"/>
    <w:rsid w:val="00DA36C2"/>
    <w:rsid w:val="00DD5206"/>
    <w:rsid w:val="00DE32CF"/>
    <w:rsid w:val="00DE6C39"/>
    <w:rsid w:val="00E11FA9"/>
    <w:rsid w:val="00E20FAB"/>
    <w:rsid w:val="00E25C74"/>
    <w:rsid w:val="00E27F2B"/>
    <w:rsid w:val="00E541D9"/>
    <w:rsid w:val="00E61037"/>
    <w:rsid w:val="00E76E34"/>
    <w:rsid w:val="00E92597"/>
    <w:rsid w:val="00E94085"/>
    <w:rsid w:val="00EB1CFC"/>
    <w:rsid w:val="00ED55C2"/>
    <w:rsid w:val="00EF01F6"/>
    <w:rsid w:val="00F1104B"/>
    <w:rsid w:val="00F12D0C"/>
    <w:rsid w:val="00F167E8"/>
    <w:rsid w:val="00F2209A"/>
    <w:rsid w:val="00F24956"/>
    <w:rsid w:val="00F33A1E"/>
    <w:rsid w:val="00F41860"/>
    <w:rsid w:val="00F53E4E"/>
    <w:rsid w:val="00F55166"/>
    <w:rsid w:val="00F84590"/>
    <w:rsid w:val="00F94B52"/>
    <w:rsid w:val="00F95F27"/>
    <w:rsid w:val="00FA7E85"/>
    <w:rsid w:val="00FC2E1C"/>
    <w:rsid w:val="00FC6CC6"/>
    <w:rsid w:val="00FD1EA7"/>
    <w:rsid w:val="00FF1C6C"/>
    <w:rsid w:val="00FF289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5D7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0"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F0B38"/>
    <w:rPr>
      <w:rFonts w:ascii="Times New Roman" w:eastAsia="Times New Roman" w:hAnsi="Times New Roman"/>
      <w:sz w:val="24"/>
      <w:szCs w:val="24"/>
    </w:rPr>
  </w:style>
  <w:style w:type="paragraph" w:styleId="Titolo1">
    <w:name w:val="heading 1"/>
    <w:basedOn w:val="Normale"/>
    <w:next w:val="Normale"/>
    <w:link w:val="Titolo1Carattere"/>
    <w:qFormat/>
    <w:rsid w:val="00C91690"/>
    <w:pPr>
      <w:keepNext/>
      <w:spacing w:line="480" w:lineRule="auto"/>
      <w:jc w:val="center"/>
      <w:outlineLvl w:val="0"/>
    </w:pPr>
    <w:rPr>
      <w:b/>
      <w:spacing w:val="40"/>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91690"/>
    <w:pPr>
      <w:tabs>
        <w:tab w:val="center" w:pos="4819"/>
        <w:tab w:val="right" w:pos="9638"/>
      </w:tabs>
    </w:pPr>
  </w:style>
  <w:style w:type="character" w:customStyle="1" w:styleId="IntestazioneCarattere">
    <w:name w:val="Intestazione Carattere"/>
    <w:basedOn w:val="Carpredefinitoparagrafo"/>
    <w:link w:val="Intestazione"/>
    <w:uiPriority w:val="99"/>
    <w:rsid w:val="00C91690"/>
  </w:style>
  <w:style w:type="paragraph" w:styleId="Pidipagina">
    <w:name w:val="footer"/>
    <w:basedOn w:val="Normale"/>
    <w:link w:val="PidipaginaCarattere"/>
    <w:uiPriority w:val="99"/>
    <w:unhideWhenUsed/>
    <w:rsid w:val="00C91690"/>
    <w:pPr>
      <w:tabs>
        <w:tab w:val="center" w:pos="4819"/>
        <w:tab w:val="right" w:pos="9638"/>
      </w:tabs>
    </w:pPr>
  </w:style>
  <w:style w:type="character" w:customStyle="1" w:styleId="PidipaginaCarattere">
    <w:name w:val="Piè di pagina Carattere"/>
    <w:basedOn w:val="Carpredefinitoparagrafo"/>
    <w:link w:val="Pidipagina"/>
    <w:uiPriority w:val="99"/>
    <w:rsid w:val="00C91690"/>
  </w:style>
  <w:style w:type="character" w:customStyle="1" w:styleId="Titolo1Carattere">
    <w:name w:val="Titolo 1 Carattere"/>
    <w:basedOn w:val="Carpredefinitoparagrafo"/>
    <w:link w:val="Titolo1"/>
    <w:rsid w:val="00C91690"/>
    <w:rPr>
      <w:rFonts w:ascii="Times New Roman" w:eastAsia="Times New Roman" w:hAnsi="Times New Roman" w:cs="Times New Roman"/>
      <w:b/>
      <w:spacing w:val="40"/>
      <w:sz w:val="28"/>
      <w:szCs w:val="24"/>
      <w:lang w:eastAsia="it-IT"/>
    </w:rPr>
  </w:style>
  <w:style w:type="paragraph" w:styleId="Testodelblocco">
    <w:name w:val="Block Text"/>
    <w:basedOn w:val="Normale"/>
    <w:semiHidden/>
    <w:rsid w:val="00C91690"/>
    <w:pPr>
      <w:tabs>
        <w:tab w:val="left" w:pos="720"/>
        <w:tab w:val="left" w:pos="900"/>
        <w:tab w:val="left" w:pos="1080"/>
      </w:tabs>
      <w:spacing w:line="360" w:lineRule="auto"/>
      <w:ind w:left="567" w:right="170"/>
      <w:jc w:val="both"/>
    </w:pPr>
  </w:style>
  <w:style w:type="paragraph" w:styleId="Titolo">
    <w:name w:val="Title"/>
    <w:basedOn w:val="Normale"/>
    <w:link w:val="TitoloCarattere"/>
    <w:qFormat/>
    <w:rsid w:val="00C91690"/>
    <w:pPr>
      <w:spacing w:line="360" w:lineRule="auto"/>
      <w:ind w:left="567" w:right="170"/>
      <w:jc w:val="center"/>
    </w:pPr>
    <w:rPr>
      <w:rFonts w:ascii="Arial" w:hAnsi="Arial"/>
      <w:b/>
      <w:spacing w:val="40"/>
      <w:sz w:val="22"/>
    </w:rPr>
  </w:style>
  <w:style w:type="character" w:customStyle="1" w:styleId="TitoloCarattere">
    <w:name w:val="Titolo Carattere"/>
    <w:basedOn w:val="Carpredefinitoparagrafo"/>
    <w:link w:val="Titolo"/>
    <w:rsid w:val="00C91690"/>
    <w:rPr>
      <w:rFonts w:ascii="Arial" w:eastAsia="Times New Roman" w:hAnsi="Arial" w:cs="Times New Roman"/>
      <w:b/>
      <w:spacing w:val="40"/>
      <w:szCs w:val="24"/>
      <w:lang w:eastAsia="it-IT"/>
    </w:rPr>
  </w:style>
  <w:style w:type="character" w:styleId="Collegamentoipertestuale">
    <w:name w:val="Hyperlink"/>
    <w:basedOn w:val="Carpredefinitoparagrafo"/>
    <w:uiPriority w:val="99"/>
    <w:unhideWhenUsed/>
    <w:rsid w:val="00C91690"/>
    <w:rPr>
      <w:color w:val="0000FF"/>
      <w:u w:val="single"/>
    </w:rPr>
  </w:style>
  <w:style w:type="paragraph" w:styleId="Testofumetto">
    <w:name w:val="Balloon Text"/>
    <w:basedOn w:val="Normale"/>
    <w:link w:val="TestofumettoCarattere"/>
    <w:uiPriority w:val="99"/>
    <w:semiHidden/>
    <w:unhideWhenUsed/>
    <w:rsid w:val="00DA36C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A36C2"/>
    <w:rPr>
      <w:rFonts w:ascii="Tahoma" w:eastAsia="Times New Roman" w:hAnsi="Tahoma" w:cs="Tahoma"/>
      <w:sz w:val="16"/>
      <w:szCs w:val="16"/>
      <w:lang w:eastAsia="it-IT"/>
    </w:rPr>
  </w:style>
  <w:style w:type="paragraph" w:styleId="Paragrafoelenco">
    <w:name w:val="List Paragraph"/>
    <w:basedOn w:val="Normale"/>
    <w:qFormat/>
    <w:rsid w:val="00424965"/>
    <w:pPr>
      <w:ind w:left="720"/>
      <w:contextualSpacing/>
    </w:pPr>
  </w:style>
  <w:style w:type="character" w:styleId="Rimandocommento">
    <w:name w:val="annotation reference"/>
    <w:basedOn w:val="Carpredefinitoparagrafo"/>
    <w:uiPriority w:val="99"/>
    <w:semiHidden/>
    <w:unhideWhenUsed/>
    <w:rsid w:val="004A7AE3"/>
    <w:rPr>
      <w:sz w:val="18"/>
      <w:szCs w:val="18"/>
    </w:rPr>
  </w:style>
  <w:style w:type="paragraph" w:styleId="Testocommento">
    <w:name w:val="annotation text"/>
    <w:basedOn w:val="Normale"/>
    <w:link w:val="TestocommentoCarattere"/>
    <w:uiPriority w:val="99"/>
    <w:semiHidden/>
    <w:unhideWhenUsed/>
    <w:rsid w:val="004A7AE3"/>
  </w:style>
  <w:style w:type="character" w:customStyle="1" w:styleId="TestocommentoCarattere">
    <w:name w:val="Testo commento Carattere"/>
    <w:basedOn w:val="Carpredefinitoparagrafo"/>
    <w:link w:val="Testocommento"/>
    <w:uiPriority w:val="99"/>
    <w:semiHidden/>
    <w:rsid w:val="004A7AE3"/>
    <w:rPr>
      <w:rFonts w:ascii="Times New Roman" w:eastAsia="Times New Roman" w:hAnsi="Times New Roman"/>
      <w:sz w:val="24"/>
      <w:szCs w:val="24"/>
    </w:rPr>
  </w:style>
  <w:style w:type="paragraph" w:styleId="Soggettocommento">
    <w:name w:val="annotation subject"/>
    <w:basedOn w:val="Testocommento"/>
    <w:next w:val="Testocommento"/>
    <w:link w:val="SoggettocommentoCarattere"/>
    <w:uiPriority w:val="99"/>
    <w:semiHidden/>
    <w:unhideWhenUsed/>
    <w:rsid w:val="004A7AE3"/>
    <w:rPr>
      <w:b/>
      <w:bCs/>
      <w:sz w:val="20"/>
      <w:szCs w:val="20"/>
    </w:rPr>
  </w:style>
  <w:style w:type="character" w:customStyle="1" w:styleId="SoggettocommentoCarattere">
    <w:name w:val="Soggetto commento Carattere"/>
    <w:basedOn w:val="TestocommentoCarattere"/>
    <w:link w:val="Soggettocommento"/>
    <w:uiPriority w:val="99"/>
    <w:semiHidden/>
    <w:rsid w:val="004A7AE3"/>
    <w:rPr>
      <w:rFonts w:ascii="Times New Roman" w:eastAsia="Times New Roman" w:hAnsi="Times New Roman"/>
      <w:b/>
      <w:bCs/>
      <w:sz w:val="24"/>
      <w:szCs w:val="24"/>
    </w:rPr>
  </w:style>
  <w:style w:type="paragraph" w:styleId="Testonotaapidipagina">
    <w:name w:val="footnote text"/>
    <w:basedOn w:val="Normale"/>
    <w:link w:val="TestonotaapidipaginaCarattere"/>
    <w:uiPriority w:val="99"/>
    <w:unhideWhenUsed/>
    <w:rsid w:val="000D2DF1"/>
  </w:style>
  <w:style w:type="character" w:customStyle="1" w:styleId="TestonotaapidipaginaCarattere">
    <w:name w:val="Testo nota a piè di pagina Carattere"/>
    <w:basedOn w:val="Carpredefinitoparagrafo"/>
    <w:link w:val="Testonotaapidipagina"/>
    <w:uiPriority w:val="99"/>
    <w:rsid w:val="000D2DF1"/>
    <w:rPr>
      <w:rFonts w:ascii="Times New Roman" w:eastAsia="Times New Roman" w:hAnsi="Times New Roman"/>
      <w:sz w:val="24"/>
      <w:szCs w:val="24"/>
    </w:rPr>
  </w:style>
  <w:style w:type="character" w:styleId="Rimandonotaapidipagina">
    <w:name w:val="footnote reference"/>
    <w:basedOn w:val="Carpredefinitoparagrafo"/>
    <w:uiPriority w:val="99"/>
    <w:unhideWhenUsed/>
    <w:rsid w:val="000D2DF1"/>
    <w:rPr>
      <w:vertAlign w:val="superscript"/>
    </w:rPr>
  </w:style>
  <w:style w:type="paragraph" w:styleId="NormaleWeb">
    <w:name w:val="Normal (Web)"/>
    <w:basedOn w:val="Normale"/>
    <w:uiPriority w:val="99"/>
    <w:unhideWhenUsed/>
    <w:rsid w:val="008C4DD0"/>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119701">
      <w:bodyDiv w:val="1"/>
      <w:marLeft w:val="0"/>
      <w:marRight w:val="0"/>
      <w:marTop w:val="0"/>
      <w:marBottom w:val="0"/>
      <w:divBdr>
        <w:top w:val="none" w:sz="0" w:space="0" w:color="auto"/>
        <w:left w:val="none" w:sz="0" w:space="0" w:color="auto"/>
        <w:bottom w:val="none" w:sz="0" w:space="0" w:color="auto"/>
        <w:right w:val="none" w:sz="0" w:space="0" w:color="auto"/>
      </w:divBdr>
      <w:divsChild>
        <w:div w:id="116146567">
          <w:marLeft w:val="0"/>
          <w:marRight w:val="0"/>
          <w:marTop w:val="0"/>
          <w:marBottom w:val="0"/>
          <w:divBdr>
            <w:top w:val="none" w:sz="0" w:space="0" w:color="auto"/>
            <w:left w:val="none" w:sz="0" w:space="0" w:color="auto"/>
            <w:bottom w:val="none" w:sz="0" w:space="0" w:color="auto"/>
            <w:right w:val="none" w:sz="0" w:space="0" w:color="auto"/>
          </w:divBdr>
          <w:divsChild>
            <w:div w:id="882206634">
              <w:marLeft w:val="0"/>
              <w:marRight w:val="0"/>
              <w:marTop w:val="0"/>
              <w:marBottom w:val="0"/>
              <w:divBdr>
                <w:top w:val="none" w:sz="0" w:space="0" w:color="auto"/>
                <w:left w:val="none" w:sz="0" w:space="0" w:color="auto"/>
                <w:bottom w:val="none" w:sz="0" w:space="0" w:color="auto"/>
                <w:right w:val="none" w:sz="0" w:space="0" w:color="auto"/>
              </w:divBdr>
              <w:divsChild>
                <w:div w:id="1455757405">
                  <w:marLeft w:val="0"/>
                  <w:marRight w:val="0"/>
                  <w:marTop w:val="0"/>
                  <w:marBottom w:val="0"/>
                  <w:divBdr>
                    <w:top w:val="none" w:sz="0" w:space="0" w:color="auto"/>
                    <w:left w:val="none" w:sz="0" w:space="0" w:color="auto"/>
                    <w:bottom w:val="none" w:sz="0" w:space="0" w:color="auto"/>
                    <w:right w:val="none" w:sz="0" w:space="0" w:color="auto"/>
                  </w:divBdr>
                  <w:divsChild>
                    <w:div w:id="2021272464">
                      <w:marLeft w:val="0"/>
                      <w:marRight w:val="0"/>
                      <w:marTop w:val="0"/>
                      <w:marBottom w:val="0"/>
                      <w:divBdr>
                        <w:top w:val="none" w:sz="0" w:space="0" w:color="auto"/>
                        <w:left w:val="none" w:sz="0" w:space="0" w:color="auto"/>
                        <w:bottom w:val="none" w:sz="0" w:space="0" w:color="auto"/>
                        <w:right w:val="none" w:sz="0" w:space="0" w:color="auto"/>
                      </w:divBdr>
                    </w:div>
                  </w:divsChild>
                </w:div>
                <w:div w:id="1159419321">
                  <w:marLeft w:val="0"/>
                  <w:marRight w:val="0"/>
                  <w:marTop w:val="0"/>
                  <w:marBottom w:val="0"/>
                  <w:divBdr>
                    <w:top w:val="none" w:sz="0" w:space="0" w:color="auto"/>
                    <w:left w:val="none" w:sz="0" w:space="0" w:color="auto"/>
                    <w:bottom w:val="none" w:sz="0" w:space="0" w:color="auto"/>
                    <w:right w:val="none" w:sz="0" w:space="0" w:color="auto"/>
                  </w:divBdr>
                  <w:divsChild>
                    <w:div w:id="91077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299585">
              <w:marLeft w:val="0"/>
              <w:marRight w:val="0"/>
              <w:marTop w:val="0"/>
              <w:marBottom w:val="0"/>
              <w:divBdr>
                <w:top w:val="none" w:sz="0" w:space="0" w:color="auto"/>
                <w:left w:val="none" w:sz="0" w:space="0" w:color="auto"/>
                <w:bottom w:val="none" w:sz="0" w:space="0" w:color="auto"/>
                <w:right w:val="none" w:sz="0" w:space="0" w:color="auto"/>
              </w:divBdr>
              <w:divsChild>
                <w:div w:id="1947956757">
                  <w:marLeft w:val="0"/>
                  <w:marRight w:val="0"/>
                  <w:marTop w:val="0"/>
                  <w:marBottom w:val="0"/>
                  <w:divBdr>
                    <w:top w:val="none" w:sz="0" w:space="0" w:color="auto"/>
                    <w:left w:val="none" w:sz="0" w:space="0" w:color="auto"/>
                    <w:bottom w:val="none" w:sz="0" w:space="0" w:color="auto"/>
                    <w:right w:val="none" w:sz="0" w:space="0" w:color="auto"/>
                  </w:divBdr>
                  <w:divsChild>
                    <w:div w:id="34328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988676">
          <w:marLeft w:val="0"/>
          <w:marRight w:val="0"/>
          <w:marTop w:val="0"/>
          <w:marBottom w:val="0"/>
          <w:divBdr>
            <w:top w:val="none" w:sz="0" w:space="0" w:color="auto"/>
            <w:left w:val="none" w:sz="0" w:space="0" w:color="auto"/>
            <w:bottom w:val="none" w:sz="0" w:space="0" w:color="auto"/>
            <w:right w:val="none" w:sz="0" w:space="0" w:color="auto"/>
          </w:divBdr>
          <w:divsChild>
            <w:div w:id="1438022135">
              <w:marLeft w:val="0"/>
              <w:marRight w:val="0"/>
              <w:marTop w:val="0"/>
              <w:marBottom w:val="0"/>
              <w:divBdr>
                <w:top w:val="none" w:sz="0" w:space="0" w:color="auto"/>
                <w:left w:val="none" w:sz="0" w:space="0" w:color="auto"/>
                <w:bottom w:val="none" w:sz="0" w:space="0" w:color="auto"/>
                <w:right w:val="none" w:sz="0" w:space="0" w:color="auto"/>
              </w:divBdr>
              <w:divsChild>
                <w:div w:id="2065331335">
                  <w:marLeft w:val="0"/>
                  <w:marRight w:val="0"/>
                  <w:marTop w:val="0"/>
                  <w:marBottom w:val="0"/>
                  <w:divBdr>
                    <w:top w:val="none" w:sz="0" w:space="0" w:color="auto"/>
                    <w:left w:val="none" w:sz="0" w:space="0" w:color="auto"/>
                    <w:bottom w:val="none" w:sz="0" w:space="0" w:color="auto"/>
                    <w:right w:val="none" w:sz="0" w:space="0" w:color="auto"/>
                  </w:divBdr>
                  <w:divsChild>
                    <w:div w:id="1831172031">
                      <w:marLeft w:val="0"/>
                      <w:marRight w:val="0"/>
                      <w:marTop w:val="0"/>
                      <w:marBottom w:val="0"/>
                      <w:divBdr>
                        <w:top w:val="none" w:sz="0" w:space="0" w:color="auto"/>
                        <w:left w:val="none" w:sz="0" w:space="0" w:color="auto"/>
                        <w:bottom w:val="none" w:sz="0" w:space="0" w:color="auto"/>
                        <w:right w:val="none" w:sz="0" w:space="0" w:color="auto"/>
                      </w:divBdr>
                    </w:div>
                  </w:divsChild>
                </w:div>
                <w:div w:id="646593983">
                  <w:marLeft w:val="0"/>
                  <w:marRight w:val="0"/>
                  <w:marTop w:val="0"/>
                  <w:marBottom w:val="0"/>
                  <w:divBdr>
                    <w:top w:val="none" w:sz="0" w:space="0" w:color="auto"/>
                    <w:left w:val="none" w:sz="0" w:space="0" w:color="auto"/>
                    <w:bottom w:val="none" w:sz="0" w:space="0" w:color="auto"/>
                    <w:right w:val="none" w:sz="0" w:space="0" w:color="auto"/>
                  </w:divBdr>
                  <w:divsChild>
                    <w:div w:id="424811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968913">
              <w:marLeft w:val="0"/>
              <w:marRight w:val="0"/>
              <w:marTop w:val="0"/>
              <w:marBottom w:val="0"/>
              <w:divBdr>
                <w:top w:val="none" w:sz="0" w:space="0" w:color="auto"/>
                <w:left w:val="none" w:sz="0" w:space="0" w:color="auto"/>
                <w:bottom w:val="none" w:sz="0" w:space="0" w:color="auto"/>
                <w:right w:val="none" w:sz="0" w:space="0" w:color="auto"/>
              </w:divBdr>
              <w:divsChild>
                <w:div w:id="1788037345">
                  <w:marLeft w:val="0"/>
                  <w:marRight w:val="0"/>
                  <w:marTop w:val="0"/>
                  <w:marBottom w:val="0"/>
                  <w:divBdr>
                    <w:top w:val="none" w:sz="0" w:space="0" w:color="auto"/>
                    <w:left w:val="none" w:sz="0" w:space="0" w:color="auto"/>
                    <w:bottom w:val="none" w:sz="0" w:space="0" w:color="auto"/>
                    <w:right w:val="none" w:sz="0" w:space="0" w:color="auto"/>
                  </w:divBdr>
                  <w:divsChild>
                    <w:div w:id="41235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634963">
          <w:marLeft w:val="0"/>
          <w:marRight w:val="0"/>
          <w:marTop w:val="0"/>
          <w:marBottom w:val="0"/>
          <w:divBdr>
            <w:top w:val="none" w:sz="0" w:space="0" w:color="auto"/>
            <w:left w:val="none" w:sz="0" w:space="0" w:color="auto"/>
            <w:bottom w:val="none" w:sz="0" w:space="0" w:color="auto"/>
            <w:right w:val="none" w:sz="0" w:space="0" w:color="auto"/>
          </w:divBdr>
          <w:divsChild>
            <w:div w:id="853421739">
              <w:marLeft w:val="0"/>
              <w:marRight w:val="0"/>
              <w:marTop w:val="0"/>
              <w:marBottom w:val="0"/>
              <w:divBdr>
                <w:top w:val="none" w:sz="0" w:space="0" w:color="auto"/>
                <w:left w:val="none" w:sz="0" w:space="0" w:color="auto"/>
                <w:bottom w:val="none" w:sz="0" w:space="0" w:color="auto"/>
                <w:right w:val="none" w:sz="0" w:space="0" w:color="auto"/>
              </w:divBdr>
              <w:divsChild>
                <w:div w:id="1757625610">
                  <w:marLeft w:val="0"/>
                  <w:marRight w:val="0"/>
                  <w:marTop w:val="0"/>
                  <w:marBottom w:val="0"/>
                  <w:divBdr>
                    <w:top w:val="none" w:sz="0" w:space="0" w:color="auto"/>
                    <w:left w:val="none" w:sz="0" w:space="0" w:color="auto"/>
                    <w:bottom w:val="none" w:sz="0" w:space="0" w:color="auto"/>
                    <w:right w:val="none" w:sz="0" w:space="0" w:color="auto"/>
                  </w:divBdr>
                  <w:divsChild>
                    <w:div w:id="663893639">
                      <w:marLeft w:val="0"/>
                      <w:marRight w:val="0"/>
                      <w:marTop w:val="0"/>
                      <w:marBottom w:val="0"/>
                      <w:divBdr>
                        <w:top w:val="none" w:sz="0" w:space="0" w:color="auto"/>
                        <w:left w:val="none" w:sz="0" w:space="0" w:color="auto"/>
                        <w:bottom w:val="none" w:sz="0" w:space="0" w:color="auto"/>
                        <w:right w:val="none" w:sz="0" w:space="0" w:color="auto"/>
                      </w:divBdr>
                    </w:div>
                  </w:divsChild>
                </w:div>
                <w:div w:id="1847792195">
                  <w:marLeft w:val="0"/>
                  <w:marRight w:val="0"/>
                  <w:marTop w:val="0"/>
                  <w:marBottom w:val="0"/>
                  <w:divBdr>
                    <w:top w:val="none" w:sz="0" w:space="0" w:color="auto"/>
                    <w:left w:val="none" w:sz="0" w:space="0" w:color="auto"/>
                    <w:bottom w:val="none" w:sz="0" w:space="0" w:color="auto"/>
                    <w:right w:val="none" w:sz="0" w:space="0" w:color="auto"/>
                  </w:divBdr>
                  <w:divsChild>
                    <w:div w:id="128603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925027">
              <w:marLeft w:val="0"/>
              <w:marRight w:val="0"/>
              <w:marTop w:val="0"/>
              <w:marBottom w:val="0"/>
              <w:divBdr>
                <w:top w:val="none" w:sz="0" w:space="0" w:color="auto"/>
                <w:left w:val="none" w:sz="0" w:space="0" w:color="auto"/>
                <w:bottom w:val="none" w:sz="0" w:space="0" w:color="auto"/>
                <w:right w:val="none" w:sz="0" w:space="0" w:color="auto"/>
              </w:divBdr>
              <w:divsChild>
                <w:div w:id="757755238">
                  <w:marLeft w:val="0"/>
                  <w:marRight w:val="0"/>
                  <w:marTop w:val="0"/>
                  <w:marBottom w:val="0"/>
                  <w:divBdr>
                    <w:top w:val="none" w:sz="0" w:space="0" w:color="auto"/>
                    <w:left w:val="none" w:sz="0" w:space="0" w:color="auto"/>
                    <w:bottom w:val="none" w:sz="0" w:space="0" w:color="auto"/>
                    <w:right w:val="none" w:sz="0" w:space="0" w:color="auto"/>
                  </w:divBdr>
                  <w:divsChild>
                    <w:div w:id="177879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80507">
          <w:marLeft w:val="0"/>
          <w:marRight w:val="0"/>
          <w:marTop w:val="0"/>
          <w:marBottom w:val="0"/>
          <w:divBdr>
            <w:top w:val="none" w:sz="0" w:space="0" w:color="auto"/>
            <w:left w:val="none" w:sz="0" w:space="0" w:color="auto"/>
            <w:bottom w:val="none" w:sz="0" w:space="0" w:color="auto"/>
            <w:right w:val="none" w:sz="0" w:space="0" w:color="auto"/>
          </w:divBdr>
          <w:divsChild>
            <w:div w:id="1306930588">
              <w:marLeft w:val="0"/>
              <w:marRight w:val="0"/>
              <w:marTop w:val="0"/>
              <w:marBottom w:val="0"/>
              <w:divBdr>
                <w:top w:val="none" w:sz="0" w:space="0" w:color="auto"/>
                <w:left w:val="none" w:sz="0" w:space="0" w:color="auto"/>
                <w:bottom w:val="none" w:sz="0" w:space="0" w:color="auto"/>
                <w:right w:val="none" w:sz="0" w:space="0" w:color="auto"/>
              </w:divBdr>
              <w:divsChild>
                <w:div w:id="677922288">
                  <w:marLeft w:val="0"/>
                  <w:marRight w:val="0"/>
                  <w:marTop w:val="0"/>
                  <w:marBottom w:val="0"/>
                  <w:divBdr>
                    <w:top w:val="none" w:sz="0" w:space="0" w:color="auto"/>
                    <w:left w:val="none" w:sz="0" w:space="0" w:color="auto"/>
                    <w:bottom w:val="none" w:sz="0" w:space="0" w:color="auto"/>
                    <w:right w:val="none" w:sz="0" w:space="0" w:color="auto"/>
                  </w:divBdr>
                  <w:divsChild>
                    <w:div w:id="803041512">
                      <w:marLeft w:val="0"/>
                      <w:marRight w:val="0"/>
                      <w:marTop w:val="0"/>
                      <w:marBottom w:val="0"/>
                      <w:divBdr>
                        <w:top w:val="none" w:sz="0" w:space="0" w:color="auto"/>
                        <w:left w:val="none" w:sz="0" w:space="0" w:color="auto"/>
                        <w:bottom w:val="none" w:sz="0" w:space="0" w:color="auto"/>
                        <w:right w:val="none" w:sz="0" w:space="0" w:color="auto"/>
                      </w:divBdr>
                    </w:div>
                  </w:divsChild>
                </w:div>
                <w:div w:id="1751270317">
                  <w:marLeft w:val="0"/>
                  <w:marRight w:val="0"/>
                  <w:marTop w:val="0"/>
                  <w:marBottom w:val="0"/>
                  <w:divBdr>
                    <w:top w:val="none" w:sz="0" w:space="0" w:color="auto"/>
                    <w:left w:val="none" w:sz="0" w:space="0" w:color="auto"/>
                    <w:bottom w:val="none" w:sz="0" w:space="0" w:color="auto"/>
                    <w:right w:val="none" w:sz="0" w:space="0" w:color="auto"/>
                  </w:divBdr>
                  <w:divsChild>
                    <w:div w:id="33993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560485">
              <w:marLeft w:val="0"/>
              <w:marRight w:val="0"/>
              <w:marTop w:val="0"/>
              <w:marBottom w:val="0"/>
              <w:divBdr>
                <w:top w:val="none" w:sz="0" w:space="0" w:color="auto"/>
                <w:left w:val="none" w:sz="0" w:space="0" w:color="auto"/>
                <w:bottom w:val="none" w:sz="0" w:space="0" w:color="auto"/>
                <w:right w:val="none" w:sz="0" w:space="0" w:color="auto"/>
              </w:divBdr>
              <w:divsChild>
                <w:div w:id="2131585907">
                  <w:marLeft w:val="0"/>
                  <w:marRight w:val="0"/>
                  <w:marTop w:val="0"/>
                  <w:marBottom w:val="0"/>
                  <w:divBdr>
                    <w:top w:val="none" w:sz="0" w:space="0" w:color="auto"/>
                    <w:left w:val="none" w:sz="0" w:space="0" w:color="auto"/>
                    <w:bottom w:val="none" w:sz="0" w:space="0" w:color="auto"/>
                    <w:right w:val="none" w:sz="0" w:space="0" w:color="auto"/>
                  </w:divBdr>
                  <w:divsChild>
                    <w:div w:id="141466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482903">
          <w:marLeft w:val="0"/>
          <w:marRight w:val="0"/>
          <w:marTop w:val="0"/>
          <w:marBottom w:val="0"/>
          <w:divBdr>
            <w:top w:val="none" w:sz="0" w:space="0" w:color="auto"/>
            <w:left w:val="none" w:sz="0" w:space="0" w:color="auto"/>
            <w:bottom w:val="none" w:sz="0" w:space="0" w:color="auto"/>
            <w:right w:val="none" w:sz="0" w:space="0" w:color="auto"/>
          </w:divBdr>
          <w:divsChild>
            <w:div w:id="719086550">
              <w:marLeft w:val="0"/>
              <w:marRight w:val="0"/>
              <w:marTop w:val="0"/>
              <w:marBottom w:val="0"/>
              <w:divBdr>
                <w:top w:val="none" w:sz="0" w:space="0" w:color="auto"/>
                <w:left w:val="none" w:sz="0" w:space="0" w:color="auto"/>
                <w:bottom w:val="none" w:sz="0" w:space="0" w:color="auto"/>
                <w:right w:val="none" w:sz="0" w:space="0" w:color="auto"/>
              </w:divBdr>
              <w:divsChild>
                <w:div w:id="1021668032">
                  <w:marLeft w:val="0"/>
                  <w:marRight w:val="0"/>
                  <w:marTop w:val="0"/>
                  <w:marBottom w:val="0"/>
                  <w:divBdr>
                    <w:top w:val="none" w:sz="0" w:space="0" w:color="auto"/>
                    <w:left w:val="none" w:sz="0" w:space="0" w:color="auto"/>
                    <w:bottom w:val="none" w:sz="0" w:space="0" w:color="auto"/>
                    <w:right w:val="none" w:sz="0" w:space="0" w:color="auto"/>
                  </w:divBdr>
                  <w:divsChild>
                    <w:div w:id="1196501260">
                      <w:marLeft w:val="0"/>
                      <w:marRight w:val="0"/>
                      <w:marTop w:val="0"/>
                      <w:marBottom w:val="0"/>
                      <w:divBdr>
                        <w:top w:val="none" w:sz="0" w:space="0" w:color="auto"/>
                        <w:left w:val="none" w:sz="0" w:space="0" w:color="auto"/>
                        <w:bottom w:val="none" w:sz="0" w:space="0" w:color="auto"/>
                        <w:right w:val="none" w:sz="0" w:space="0" w:color="auto"/>
                      </w:divBdr>
                    </w:div>
                  </w:divsChild>
                </w:div>
                <w:div w:id="548223228">
                  <w:marLeft w:val="0"/>
                  <w:marRight w:val="0"/>
                  <w:marTop w:val="0"/>
                  <w:marBottom w:val="0"/>
                  <w:divBdr>
                    <w:top w:val="none" w:sz="0" w:space="0" w:color="auto"/>
                    <w:left w:val="none" w:sz="0" w:space="0" w:color="auto"/>
                    <w:bottom w:val="none" w:sz="0" w:space="0" w:color="auto"/>
                    <w:right w:val="none" w:sz="0" w:space="0" w:color="auto"/>
                  </w:divBdr>
                  <w:divsChild>
                    <w:div w:id="173404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40267">
              <w:marLeft w:val="0"/>
              <w:marRight w:val="0"/>
              <w:marTop w:val="0"/>
              <w:marBottom w:val="0"/>
              <w:divBdr>
                <w:top w:val="none" w:sz="0" w:space="0" w:color="auto"/>
                <w:left w:val="none" w:sz="0" w:space="0" w:color="auto"/>
                <w:bottom w:val="none" w:sz="0" w:space="0" w:color="auto"/>
                <w:right w:val="none" w:sz="0" w:space="0" w:color="auto"/>
              </w:divBdr>
              <w:divsChild>
                <w:div w:id="1887914755">
                  <w:marLeft w:val="0"/>
                  <w:marRight w:val="0"/>
                  <w:marTop w:val="0"/>
                  <w:marBottom w:val="0"/>
                  <w:divBdr>
                    <w:top w:val="none" w:sz="0" w:space="0" w:color="auto"/>
                    <w:left w:val="none" w:sz="0" w:space="0" w:color="auto"/>
                    <w:bottom w:val="none" w:sz="0" w:space="0" w:color="auto"/>
                    <w:right w:val="none" w:sz="0" w:space="0" w:color="auto"/>
                  </w:divBdr>
                  <w:divsChild>
                    <w:div w:id="55871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97290">
          <w:marLeft w:val="0"/>
          <w:marRight w:val="0"/>
          <w:marTop w:val="0"/>
          <w:marBottom w:val="0"/>
          <w:divBdr>
            <w:top w:val="none" w:sz="0" w:space="0" w:color="auto"/>
            <w:left w:val="none" w:sz="0" w:space="0" w:color="auto"/>
            <w:bottom w:val="none" w:sz="0" w:space="0" w:color="auto"/>
            <w:right w:val="none" w:sz="0" w:space="0" w:color="auto"/>
          </w:divBdr>
          <w:divsChild>
            <w:div w:id="146869639">
              <w:marLeft w:val="0"/>
              <w:marRight w:val="0"/>
              <w:marTop w:val="0"/>
              <w:marBottom w:val="0"/>
              <w:divBdr>
                <w:top w:val="none" w:sz="0" w:space="0" w:color="auto"/>
                <w:left w:val="none" w:sz="0" w:space="0" w:color="auto"/>
                <w:bottom w:val="none" w:sz="0" w:space="0" w:color="auto"/>
                <w:right w:val="none" w:sz="0" w:space="0" w:color="auto"/>
              </w:divBdr>
              <w:divsChild>
                <w:div w:id="1606814423">
                  <w:marLeft w:val="0"/>
                  <w:marRight w:val="0"/>
                  <w:marTop w:val="0"/>
                  <w:marBottom w:val="0"/>
                  <w:divBdr>
                    <w:top w:val="none" w:sz="0" w:space="0" w:color="auto"/>
                    <w:left w:val="none" w:sz="0" w:space="0" w:color="auto"/>
                    <w:bottom w:val="none" w:sz="0" w:space="0" w:color="auto"/>
                    <w:right w:val="none" w:sz="0" w:space="0" w:color="auto"/>
                  </w:divBdr>
                  <w:divsChild>
                    <w:div w:id="1451704470">
                      <w:marLeft w:val="0"/>
                      <w:marRight w:val="0"/>
                      <w:marTop w:val="0"/>
                      <w:marBottom w:val="0"/>
                      <w:divBdr>
                        <w:top w:val="none" w:sz="0" w:space="0" w:color="auto"/>
                        <w:left w:val="none" w:sz="0" w:space="0" w:color="auto"/>
                        <w:bottom w:val="none" w:sz="0" w:space="0" w:color="auto"/>
                        <w:right w:val="none" w:sz="0" w:space="0" w:color="auto"/>
                      </w:divBdr>
                    </w:div>
                  </w:divsChild>
                </w:div>
                <w:div w:id="761806145">
                  <w:marLeft w:val="0"/>
                  <w:marRight w:val="0"/>
                  <w:marTop w:val="0"/>
                  <w:marBottom w:val="0"/>
                  <w:divBdr>
                    <w:top w:val="none" w:sz="0" w:space="0" w:color="auto"/>
                    <w:left w:val="none" w:sz="0" w:space="0" w:color="auto"/>
                    <w:bottom w:val="none" w:sz="0" w:space="0" w:color="auto"/>
                    <w:right w:val="none" w:sz="0" w:space="0" w:color="auto"/>
                  </w:divBdr>
                  <w:divsChild>
                    <w:div w:id="200608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79020">
              <w:marLeft w:val="0"/>
              <w:marRight w:val="0"/>
              <w:marTop w:val="0"/>
              <w:marBottom w:val="0"/>
              <w:divBdr>
                <w:top w:val="none" w:sz="0" w:space="0" w:color="auto"/>
                <w:left w:val="none" w:sz="0" w:space="0" w:color="auto"/>
                <w:bottom w:val="none" w:sz="0" w:space="0" w:color="auto"/>
                <w:right w:val="none" w:sz="0" w:space="0" w:color="auto"/>
              </w:divBdr>
              <w:divsChild>
                <w:div w:id="1653173174">
                  <w:marLeft w:val="0"/>
                  <w:marRight w:val="0"/>
                  <w:marTop w:val="0"/>
                  <w:marBottom w:val="0"/>
                  <w:divBdr>
                    <w:top w:val="none" w:sz="0" w:space="0" w:color="auto"/>
                    <w:left w:val="none" w:sz="0" w:space="0" w:color="auto"/>
                    <w:bottom w:val="none" w:sz="0" w:space="0" w:color="auto"/>
                    <w:right w:val="none" w:sz="0" w:space="0" w:color="auto"/>
                  </w:divBdr>
                  <w:divsChild>
                    <w:div w:id="5396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055734">
          <w:marLeft w:val="0"/>
          <w:marRight w:val="0"/>
          <w:marTop w:val="0"/>
          <w:marBottom w:val="0"/>
          <w:divBdr>
            <w:top w:val="none" w:sz="0" w:space="0" w:color="auto"/>
            <w:left w:val="none" w:sz="0" w:space="0" w:color="auto"/>
            <w:bottom w:val="none" w:sz="0" w:space="0" w:color="auto"/>
            <w:right w:val="none" w:sz="0" w:space="0" w:color="auto"/>
          </w:divBdr>
          <w:divsChild>
            <w:div w:id="1161849806">
              <w:marLeft w:val="0"/>
              <w:marRight w:val="0"/>
              <w:marTop w:val="0"/>
              <w:marBottom w:val="0"/>
              <w:divBdr>
                <w:top w:val="none" w:sz="0" w:space="0" w:color="auto"/>
                <w:left w:val="none" w:sz="0" w:space="0" w:color="auto"/>
                <w:bottom w:val="none" w:sz="0" w:space="0" w:color="auto"/>
                <w:right w:val="none" w:sz="0" w:space="0" w:color="auto"/>
              </w:divBdr>
              <w:divsChild>
                <w:div w:id="1298491490">
                  <w:marLeft w:val="0"/>
                  <w:marRight w:val="0"/>
                  <w:marTop w:val="0"/>
                  <w:marBottom w:val="0"/>
                  <w:divBdr>
                    <w:top w:val="none" w:sz="0" w:space="0" w:color="auto"/>
                    <w:left w:val="none" w:sz="0" w:space="0" w:color="auto"/>
                    <w:bottom w:val="none" w:sz="0" w:space="0" w:color="auto"/>
                    <w:right w:val="none" w:sz="0" w:space="0" w:color="auto"/>
                  </w:divBdr>
                  <w:divsChild>
                    <w:div w:id="1770008401">
                      <w:marLeft w:val="0"/>
                      <w:marRight w:val="0"/>
                      <w:marTop w:val="0"/>
                      <w:marBottom w:val="0"/>
                      <w:divBdr>
                        <w:top w:val="none" w:sz="0" w:space="0" w:color="auto"/>
                        <w:left w:val="none" w:sz="0" w:space="0" w:color="auto"/>
                        <w:bottom w:val="none" w:sz="0" w:space="0" w:color="auto"/>
                        <w:right w:val="none" w:sz="0" w:space="0" w:color="auto"/>
                      </w:divBdr>
                    </w:div>
                  </w:divsChild>
                </w:div>
                <w:div w:id="491289207">
                  <w:marLeft w:val="0"/>
                  <w:marRight w:val="0"/>
                  <w:marTop w:val="0"/>
                  <w:marBottom w:val="0"/>
                  <w:divBdr>
                    <w:top w:val="none" w:sz="0" w:space="0" w:color="auto"/>
                    <w:left w:val="none" w:sz="0" w:space="0" w:color="auto"/>
                    <w:bottom w:val="none" w:sz="0" w:space="0" w:color="auto"/>
                    <w:right w:val="none" w:sz="0" w:space="0" w:color="auto"/>
                  </w:divBdr>
                  <w:divsChild>
                    <w:div w:id="42206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760335">
              <w:marLeft w:val="0"/>
              <w:marRight w:val="0"/>
              <w:marTop w:val="0"/>
              <w:marBottom w:val="0"/>
              <w:divBdr>
                <w:top w:val="none" w:sz="0" w:space="0" w:color="auto"/>
                <w:left w:val="none" w:sz="0" w:space="0" w:color="auto"/>
                <w:bottom w:val="none" w:sz="0" w:space="0" w:color="auto"/>
                <w:right w:val="none" w:sz="0" w:space="0" w:color="auto"/>
              </w:divBdr>
              <w:divsChild>
                <w:div w:id="1994214965">
                  <w:marLeft w:val="0"/>
                  <w:marRight w:val="0"/>
                  <w:marTop w:val="0"/>
                  <w:marBottom w:val="0"/>
                  <w:divBdr>
                    <w:top w:val="none" w:sz="0" w:space="0" w:color="auto"/>
                    <w:left w:val="none" w:sz="0" w:space="0" w:color="auto"/>
                    <w:bottom w:val="none" w:sz="0" w:space="0" w:color="auto"/>
                    <w:right w:val="none" w:sz="0" w:space="0" w:color="auto"/>
                  </w:divBdr>
                  <w:divsChild>
                    <w:div w:id="175447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5154">
          <w:marLeft w:val="0"/>
          <w:marRight w:val="0"/>
          <w:marTop w:val="0"/>
          <w:marBottom w:val="0"/>
          <w:divBdr>
            <w:top w:val="none" w:sz="0" w:space="0" w:color="auto"/>
            <w:left w:val="none" w:sz="0" w:space="0" w:color="auto"/>
            <w:bottom w:val="none" w:sz="0" w:space="0" w:color="auto"/>
            <w:right w:val="none" w:sz="0" w:space="0" w:color="auto"/>
          </w:divBdr>
          <w:divsChild>
            <w:div w:id="15930954">
              <w:marLeft w:val="0"/>
              <w:marRight w:val="0"/>
              <w:marTop w:val="0"/>
              <w:marBottom w:val="0"/>
              <w:divBdr>
                <w:top w:val="none" w:sz="0" w:space="0" w:color="auto"/>
                <w:left w:val="none" w:sz="0" w:space="0" w:color="auto"/>
                <w:bottom w:val="none" w:sz="0" w:space="0" w:color="auto"/>
                <w:right w:val="none" w:sz="0" w:space="0" w:color="auto"/>
              </w:divBdr>
              <w:divsChild>
                <w:div w:id="589436130">
                  <w:marLeft w:val="0"/>
                  <w:marRight w:val="0"/>
                  <w:marTop w:val="0"/>
                  <w:marBottom w:val="0"/>
                  <w:divBdr>
                    <w:top w:val="none" w:sz="0" w:space="0" w:color="auto"/>
                    <w:left w:val="none" w:sz="0" w:space="0" w:color="auto"/>
                    <w:bottom w:val="none" w:sz="0" w:space="0" w:color="auto"/>
                    <w:right w:val="none" w:sz="0" w:space="0" w:color="auto"/>
                  </w:divBdr>
                  <w:divsChild>
                    <w:div w:id="2134053663">
                      <w:marLeft w:val="0"/>
                      <w:marRight w:val="0"/>
                      <w:marTop w:val="0"/>
                      <w:marBottom w:val="0"/>
                      <w:divBdr>
                        <w:top w:val="none" w:sz="0" w:space="0" w:color="auto"/>
                        <w:left w:val="none" w:sz="0" w:space="0" w:color="auto"/>
                        <w:bottom w:val="none" w:sz="0" w:space="0" w:color="auto"/>
                        <w:right w:val="none" w:sz="0" w:space="0" w:color="auto"/>
                      </w:divBdr>
                    </w:div>
                  </w:divsChild>
                </w:div>
                <w:div w:id="991062781">
                  <w:marLeft w:val="0"/>
                  <w:marRight w:val="0"/>
                  <w:marTop w:val="0"/>
                  <w:marBottom w:val="0"/>
                  <w:divBdr>
                    <w:top w:val="none" w:sz="0" w:space="0" w:color="auto"/>
                    <w:left w:val="none" w:sz="0" w:space="0" w:color="auto"/>
                    <w:bottom w:val="none" w:sz="0" w:space="0" w:color="auto"/>
                    <w:right w:val="none" w:sz="0" w:space="0" w:color="auto"/>
                  </w:divBdr>
                  <w:divsChild>
                    <w:div w:id="55397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09970">
              <w:marLeft w:val="0"/>
              <w:marRight w:val="0"/>
              <w:marTop w:val="0"/>
              <w:marBottom w:val="0"/>
              <w:divBdr>
                <w:top w:val="none" w:sz="0" w:space="0" w:color="auto"/>
                <w:left w:val="none" w:sz="0" w:space="0" w:color="auto"/>
                <w:bottom w:val="none" w:sz="0" w:space="0" w:color="auto"/>
                <w:right w:val="none" w:sz="0" w:space="0" w:color="auto"/>
              </w:divBdr>
              <w:divsChild>
                <w:div w:id="1007096675">
                  <w:marLeft w:val="0"/>
                  <w:marRight w:val="0"/>
                  <w:marTop w:val="0"/>
                  <w:marBottom w:val="0"/>
                  <w:divBdr>
                    <w:top w:val="none" w:sz="0" w:space="0" w:color="auto"/>
                    <w:left w:val="none" w:sz="0" w:space="0" w:color="auto"/>
                    <w:bottom w:val="none" w:sz="0" w:space="0" w:color="auto"/>
                    <w:right w:val="none" w:sz="0" w:space="0" w:color="auto"/>
                  </w:divBdr>
                  <w:divsChild>
                    <w:div w:id="90514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839430">
          <w:marLeft w:val="0"/>
          <w:marRight w:val="0"/>
          <w:marTop w:val="0"/>
          <w:marBottom w:val="0"/>
          <w:divBdr>
            <w:top w:val="none" w:sz="0" w:space="0" w:color="auto"/>
            <w:left w:val="none" w:sz="0" w:space="0" w:color="auto"/>
            <w:bottom w:val="none" w:sz="0" w:space="0" w:color="auto"/>
            <w:right w:val="none" w:sz="0" w:space="0" w:color="auto"/>
          </w:divBdr>
          <w:divsChild>
            <w:div w:id="2058968969">
              <w:marLeft w:val="0"/>
              <w:marRight w:val="0"/>
              <w:marTop w:val="0"/>
              <w:marBottom w:val="0"/>
              <w:divBdr>
                <w:top w:val="none" w:sz="0" w:space="0" w:color="auto"/>
                <w:left w:val="none" w:sz="0" w:space="0" w:color="auto"/>
                <w:bottom w:val="none" w:sz="0" w:space="0" w:color="auto"/>
                <w:right w:val="none" w:sz="0" w:space="0" w:color="auto"/>
              </w:divBdr>
              <w:divsChild>
                <w:div w:id="1976325858">
                  <w:marLeft w:val="0"/>
                  <w:marRight w:val="0"/>
                  <w:marTop w:val="0"/>
                  <w:marBottom w:val="0"/>
                  <w:divBdr>
                    <w:top w:val="none" w:sz="0" w:space="0" w:color="auto"/>
                    <w:left w:val="none" w:sz="0" w:space="0" w:color="auto"/>
                    <w:bottom w:val="none" w:sz="0" w:space="0" w:color="auto"/>
                    <w:right w:val="none" w:sz="0" w:space="0" w:color="auto"/>
                  </w:divBdr>
                  <w:divsChild>
                    <w:div w:id="1333295356">
                      <w:marLeft w:val="0"/>
                      <w:marRight w:val="0"/>
                      <w:marTop w:val="0"/>
                      <w:marBottom w:val="0"/>
                      <w:divBdr>
                        <w:top w:val="none" w:sz="0" w:space="0" w:color="auto"/>
                        <w:left w:val="none" w:sz="0" w:space="0" w:color="auto"/>
                        <w:bottom w:val="none" w:sz="0" w:space="0" w:color="auto"/>
                        <w:right w:val="none" w:sz="0" w:space="0" w:color="auto"/>
                      </w:divBdr>
                    </w:div>
                  </w:divsChild>
                </w:div>
                <w:div w:id="510265745">
                  <w:marLeft w:val="0"/>
                  <w:marRight w:val="0"/>
                  <w:marTop w:val="0"/>
                  <w:marBottom w:val="0"/>
                  <w:divBdr>
                    <w:top w:val="none" w:sz="0" w:space="0" w:color="auto"/>
                    <w:left w:val="none" w:sz="0" w:space="0" w:color="auto"/>
                    <w:bottom w:val="none" w:sz="0" w:space="0" w:color="auto"/>
                    <w:right w:val="none" w:sz="0" w:space="0" w:color="auto"/>
                  </w:divBdr>
                  <w:divsChild>
                    <w:div w:id="91547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027775">
              <w:marLeft w:val="0"/>
              <w:marRight w:val="0"/>
              <w:marTop w:val="0"/>
              <w:marBottom w:val="0"/>
              <w:divBdr>
                <w:top w:val="none" w:sz="0" w:space="0" w:color="auto"/>
                <w:left w:val="none" w:sz="0" w:space="0" w:color="auto"/>
                <w:bottom w:val="none" w:sz="0" w:space="0" w:color="auto"/>
                <w:right w:val="none" w:sz="0" w:space="0" w:color="auto"/>
              </w:divBdr>
              <w:divsChild>
                <w:div w:id="563956722">
                  <w:marLeft w:val="0"/>
                  <w:marRight w:val="0"/>
                  <w:marTop w:val="0"/>
                  <w:marBottom w:val="0"/>
                  <w:divBdr>
                    <w:top w:val="none" w:sz="0" w:space="0" w:color="auto"/>
                    <w:left w:val="none" w:sz="0" w:space="0" w:color="auto"/>
                    <w:bottom w:val="none" w:sz="0" w:space="0" w:color="auto"/>
                    <w:right w:val="none" w:sz="0" w:space="0" w:color="auto"/>
                  </w:divBdr>
                  <w:divsChild>
                    <w:div w:id="103057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946404">
          <w:marLeft w:val="0"/>
          <w:marRight w:val="0"/>
          <w:marTop w:val="0"/>
          <w:marBottom w:val="0"/>
          <w:divBdr>
            <w:top w:val="none" w:sz="0" w:space="0" w:color="auto"/>
            <w:left w:val="none" w:sz="0" w:space="0" w:color="auto"/>
            <w:bottom w:val="none" w:sz="0" w:space="0" w:color="auto"/>
            <w:right w:val="none" w:sz="0" w:space="0" w:color="auto"/>
          </w:divBdr>
          <w:divsChild>
            <w:div w:id="9989003">
              <w:marLeft w:val="0"/>
              <w:marRight w:val="0"/>
              <w:marTop w:val="0"/>
              <w:marBottom w:val="0"/>
              <w:divBdr>
                <w:top w:val="none" w:sz="0" w:space="0" w:color="auto"/>
                <w:left w:val="none" w:sz="0" w:space="0" w:color="auto"/>
                <w:bottom w:val="none" w:sz="0" w:space="0" w:color="auto"/>
                <w:right w:val="none" w:sz="0" w:space="0" w:color="auto"/>
              </w:divBdr>
              <w:divsChild>
                <w:div w:id="1779761628">
                  <w:marLeft w:val="0"/>
                  <w:marRight w:val="0"/>
                  <w:marTop w:val="0"/>
                  <w:marBottom w:val="0"/>
                  <w:divBdr>
                    <w:top w:val="none" w:sz="0" w:space="0" w:color="auto"/>
                    <w:left w:val="none" w:sz="0" w:space="0" w:color="auto"/>
                    <w:bottom w:val="none" w:sz="0" w:space="0" w:color="auto"/>
                    <w:right w:val="none" w:sz="0" w:space="0" w:color="auto"/>
                  </w:divBdr>
                  <w:divsChild>
                    <w:div w:id="1644653315">
                      <w:marLeft w:val="0"/>
                      <w:marRight w:val="0"/>
                      <w:marTop w:val="0"/>
                      <w:marBottom w:val="0"/>
                      <w:divBdr>
                        <w:top w:val="none" w:sz="0" w:space="0" w:color="auto"/>
                        <w:left w:val="none" w:sz="0" w:space="0" w:color="auto"/>
                        <w:bottom w:val="none" w:sz="0" w:space="0" w:color="auto"/>
                        <w:right w:val="none" w:sz="0" w:space="0" w:color="auto"/>
                      </w:divBdr>
                    </w:div>
                  </w:divsChild>
                </w:div>
                <w:div w:id="1307081079">
                  <w:marLeft w:val="0"/>
                  <w:marRight w:val="0"/>
                  <w:marTop w:val="0"/>
                  <w:marBottom w:val="0"/>
                  <w:divBdr>
                    <w:top w:val="none" w:sz="0" w:space="0" w:color="auto"/>
                    <w:left w:val="none" w:sz="0" w:space="0" w:color="auto"/>
                    <w:bottom w:val="none" w:sz="0" w:space="0" w:color="auto"/>
                    <w:right w:val="none" w:sz="0" w:space="0" w:color="auto"/>
                  </w:divBdr>
                  <w:divsChild>
                    <w:div w:id="186243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268195">
              <w:marLeft w:val="0"/>
              <w:marRight w:val="0"/>
              <w:marTop w:val="0"/>
              <w:marBottom w:val="0"/>
              <w:divBdr>
                <w:top w:val="none" w:sz="0" w:space="0" w:color="auto"/>
                <w:left w:val="none" w:sz="0" w:space="0" w:color="auto"/>
                <w:bottom w:val="none" w:sz="0" w:space="0" w:color="auto"/>
                <w:right w:val="none" w:sz="0" w:space="0" w:color="auto"/>
              </w:divBdr>
              <w:divsChild>
                <w:div w:id="377975213">
                  <w:marLeft w:val="0"/>
                  <w:marRight w:val="0"/>
                  <w:marTop w:val="0"/>
                  <w:marBottom w:val="0"/>
                  <w:divBdr>
                    <w:top w:val="none" w:sz="0" w:space="0" w:color="auto"/>
                    <w:left w:val="none" w:sz="0" w:space="0" w:color="auto"/>
                    <w:bottom w:val="none" w:sz="0" w:space="0" w:color="auto"/>
                    <w:right w:val="none" w:sz="0" w:space="0" w:color="auto"/>
                  </w:divBdr>
                  <w:divsChild>
                    <w:div w:id="15825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774471">
          <w:marLeft w:val="0"/>
          <w:marRight w:val="0"/>
          <w:marTop w:val="0"/>
          <w:marBottom w:val="0"/>
          <w:divBdr>
            <w:top w:val="none" w:sz="0" w:space="0" w:color="auto"/>
            <w:left w:val="none" w:sz="0" w:space="0" w:color="auto"/>
            <w:bottom w:val="none" w:sz="0" w:space="0" w:color="auto"/>
            <w:right w:val="none" w:sz="0" w:space="0" w:color="auto"/>
          </w:divBdr>
          <w:divsChild>
            <w:div w:id="714042756">
              <w:marLeft w:val="0"/>
              <w:marRight w:val="0"/>
              <w:marTop w:val="0"/>
              <w:marBottom w:val="0"/>
              <w:divBdr>
                <w:top w:val="none" w:sz="0" w:space="0" w:color="auto"/>
                <w:left w:val="none" w:sz="0" w:space="0" w:color="auto"/>
                <w:bottom w:val="none" w:sz="0" w:space="0" w:color="auto"/>
                <w:right w:val="none" w:sz="0" w:space="0" w:color="auto"/>
              </w:divBdr>
              <w:divsChild>
                <w:div w:id="1757970049">
                  <w:marLeft w:val="0"/>
                  <w:marRight w:val="0"/>
                  <w:marTop w:val="0"/>
                  <w:marBottom w:val="0"/>
                  <w:divBdr>
                    <w:top w:val="none" w:sz="0" w:space="0" w:color="auto"/>
                    <w:left w:val="none" w:sz="0" w:space="0" w:color="auto"/>
                    <w:bottom w:val="none" w:sz="0" w:space="0" w:color="auto"/>
                    <w:right w:val="none" w:sz="0" w:space="0" w:color="auto"/>
                  </w:divBdr>
                  <w:divsChild>
                    <w:div w:id="1152210866">
                      <w:marLeft w:val="0"/>
                      <w:marRight w:val="0"/>
                      <w:marTop w:val="0"/>
                      <w:marBottom w:val="0"/>
                      <w:divBdr>
                        <w:top w:val="none" w:sz="0" w:space="0" w:color="auto"/>
                        <w:left w:val="none" w:sz="0" w:space="0" w:color="auto"/>
                        <w:bottom w:val="none" w:sz="0" w:space="0" w:color="auto"/>
                        <w:right w:val="none" w:sz="0" w:space="0" w:color="auto"/>
                      </w:divBdr>
                    </w:div>
                  </w:divsChild>
                </w:div>
                <w:div w:id="461730888">
                  <w:marLeft w:val="0"/>
                  <w:marRight w:val="0"/>
                  <w:marTop w:val="0"/>
                  <w:marBottom w:val="0"/>
                  <w:divBdr>
                    <w:top w:val="none" w:sz="0" w:space="0" w:color="auto"/>
                    <w:left w:val="none" w:sz="0" w:space="0" w:color="auto"/>
                    <w:bottom w:val="none" w:sz="0" w:space="0" w:color="auto"/>
                    <w:right w:val="none" w:sz="0" w:space="0" w:color="auto"/>
                  </w:divBdr>
                  <w:divsChild>
                    <w:div w:id="151684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91956">
              <w:marLeft w:val="0"/>
              <w:marRight w:val="0"/>
              <w:marTop w:val="0"/>
              <w:marBottom w:val="0"/>
              <w:divBdr>
                <w:top w:val="none" w:sz="0" w:space="0" w:color="auto"/>
                <w:left w:val="none" w:sz="0" w:space="0" w:color="auto"/>
                <w:bottom w:val="none" w:sz="0" w:space="0" w:color="auto"/>
                <w:right w:val="none" w:sz="0" w:space="0" w:color="auto"/>
              </w:divBdr>
              <w:divsChild>
                <w:div w:id="1358697771">
                  <w:marLeft w:val="0"/>
                  <w:marRight w:val="0"/>
                  <w:marTop w:val="0"/>
                  <w:marBottom w:val="0"/>
                  <w:divBdr>
                    <w:top w:val="none" w:sz="0" w:space="0" w:color="auto"/>
                    <w:left w:val="none" w:sz="0" w:space="0" w:color="auto"/>
                    <w:bottom w:val="none" w:sz="0" w:space="0" w:color="auto"/>
                    <w:right w:val="none" w:sz="0" w:space="0" w:color="auto"/>
                  </w:divBdr>
                  <w:divsChild>
                    <w:div w:id="200763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73915">
          <w:marLeft w:val="0"/>
          <w:marRight w:val="0"/>
          <w:marTop w:val="0"/>
          <w:marBottom w:val="0"/>
          <w:divBdr>
            <w:top w:val="none" w:sz="0" w:space="0" w:color="auto"/>
            <w:left w:val="none" w:sz="0" w:space="0" w:color="auto"/>
            <w:bottom w:val="none" w:sz="0" w:space="0" w:color="auto"/>
            <w:right w:val="none" w:sz="0" w:space="0" w:color="auto"/>
          </w:divBdr>
          <w:divsChild>
            <w:div w:id="968128515">
              <w:marLeft w:val="0"/>
              <w:marRight w:val="0"/>
              <w:marTop w:val="0"/>
              <w:marBottom w:val="0"/>
              <w:divBdr>
                <w:top w:val="none" w:sz="0" w:space="0" w:color="auto"/>
                <w:left w:val="none" w:sz="0" w:space="0" w:color="auto"/>
                <w:bottom w:val="none" w:sz="0" w:space="0" w:color="auto"/>
                <w:right w:val="none" w:sz="0" w:space="0" w:color="auto"/>
              </w:divBdr>
              <w:divsChild>
                <w:div w:id="1373118740">
                  <w:marLeft w:val="0"/>
                  <w:marRight w:val="0"/>
                  <w:marTop w:val="0"/>
                  <w:marBottom w:val="0"/>
                  <w:divBdr>
                    <w:top w:val="none" w:sz="0" w:space="0" w:color="auto"/>
                    <w:left w:val="none" w:sz="0" w:space="0" w:color="auto"/>
                    <w:bottom w:val="none" w:sz="0" w:space="0" w:color="auto"/>
                    <w:right w:val="none" w:sz="0" w:space="0" w:color="auto"/>
                  </w:divBdr>
                  <w:divsChild>
                    <w:div w:id="275604486">
                      <w:marLeft w:val="0"/>
                      <w:marRight w:val="0"/>
                      <w:marTop w:val="0"/>
                      <w:marBottom w:val="0"/>
                      <w:divBdr>
                        <w:top w:val="none" w:sz="0" w:space="0" w:color="auto"/>
                        <w:left w:val="none" w:sz="0" w:space="0" w:color="auto"/>
                        <w:bottom w:val="none" w:sz="0" w:space="0" w:color="auto"/>
                        <w:right w:val="none" w:sz="0" w:space="0" w:color="auto"/>
                      </w:divBdr>
                    </w:div>
                  </w:divsChild>
                </w:div>
                <w:div w:id="354699761">
                  <w:marLeft w:val="0"/>
                  <w:marRight w:val="0"/>
                  <w:marTop w:val="0"/>
                  <w:marBottom w:val="0"/>
                  <w:divBdr>
                    <w:top w:val="none" w:sz="0" w:space="0" w:color="auto"/>
                    <w:left w:val="none" w:sz="0" w:space="0" w:color="auto"/>
                    <w:bottom w:val="none" w:sz="0" w:space="0" w:color="auto"/>
                    <w:right w:val="none" w:sz="0" w:space="0" w:color="auto"/>
                  </w:divBdr>
                  <w:divsChild>
                    <w:div w:id="33727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773192">
              <w:marLeft w:val="0"/>
              <w:marRight w:val="0"/>
              <w:marTop w:val="0"/>
              <w:marBottom w:val="0"/>
              <w:divBdr>
                <w:top w:val="none" w:sz="0" w:space="0" w:color="auto"/>
                <w:left w:val="none" w:sz="0" w:space="0" w:color="auto"/>
                <w:bottom w:val="none" w:sz="0" w:space="0" w:color="auto"/>
                <w:right w:val="none" w:sz="0" w:space="0" w:color="auto"/>
              </w:divBdr>
              <w:divsChild>
                <w:div w:id="1679457880">
                  <w:marLeft w:val="0"/>
                  <w:marRight w:val="0"/>
                  <w:marTop w:val="0"/>
                  <w:marBottom w:val="0"/>
                  <w:divBdr>
                    <w:top w:val="none" w:sz="0" w:space="0" w:color="auto"/>
                    <w:left w:val="none" w:sz="0" w:space="0" w:color="auto"/>
                    <w:bottom w:val="none" w:sz="0" w:space="0" w:color="auto"/>
                    <w:right w:val="none" w:sz="0" w:space="0" w:color="auto"/>
                  </w:divBdr>
                  <w:divsChild>
                    <w:div w:id="11617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14284">
          <w:marLeft w:val="0"/>
          <w:marRight w:val="0"/>
          <w:marTop w:val="0"/>
          <w:marBottom w:val="0"/>
          <w:divBdr>
            <w:top w:val="none" w:sz="0" w:space="0" w:color="auto"/>
            <w:left w:val="none" w:sz="0" w:space="0" w:color="auto"/>
            <w:bottom w:val="none" w:sz="0" w:space="0" w:color="auto"/>
            <w:right w:val="none" w:sz="0" w:space="0" w:color="auto"/>
          </w:divBdr>
          <w:divsChild>
            <w:div w:id="344214725">
              <w:marLeft w:val="0"/>
              <w:marRight w:val="0"/>
              <w:marTop w:val="0"/>
              <w:marBottom w:val="0"/>
              <w:divBdr>
                <w:top w:val="none" w:sz="0" w:space="0" w:color="auto"/>
                <w:left w:val="none" w:sz="0" w:space="0" w:color="auto"/>
                <w:bottom w:val="none" w:sz="0" w:space="0" w:color="auto"/>
                <w:right w:val="none" w:sz="0" w:space="0" w:color="auto"/>
              </w:divBdr>
              <w:divsChild>
                <w:div w:id="846335972">
                  <w:marLeft w:val="0"/>
                  <w:marRight w:val="0"/>
                  <w:marTop w:val="0"/>
                  <w:marBottom w:val="0"/>
                  <w:divBdr>
                    <w:top w:val="none" w:sz="0" w:space="0" w:color="auto"/>
                    <w:left w:val="none" w:sz="0" w:space="0" w:color="auto"/>
                    <w:bottom w:val="none" w:sz="0" w:space="0" w:color="auto"/>
                    <w:right w:val="none" w:sz="0" w:space="0" w:color="auto"/>
                  </w:divBdr>
                  <w:divsChild>
                    <w:div w:id="1508717743">
                      <w:marLeft w:val="0"/>
                      <w:marRight w:val="0"/>
                      <w:marTop w:val="0"/>
                      <w:marBottom w:val="0"/>
                      <w:divBdr>
                        <w:top w:val="none" w:sz="0" w:space="0" w:color="auto"/>
                        <w:left w:val="none" w:sz="0" w:space="0" w:color="auto"/>
                        <w:bottom w:val="none" w:sz="0" w:space="0" w:color="auto"/>
                        <w:right w:val="none" w:sz="0" w:space="0" w:color="auto"/>
                      </w:divBdr>
                    </w:div>
                    <w:div w:id="895362465">
                      <w:marLeft w:val="0"/>
                      <w:marRight w:val="0"/>
                      <w:marTop w:val="0"/>
                      <w:marBottom w:val="0"/>
                      <w:divBdr>
                        <w:top w:val="none" w:sz="0" w:space="0" w:color="auto"/>
                        <w:left w:val="none" w:sz="0" w:space="0" w:color="auto"/>
                        <w:bottom w:val="none" w:sz="0" w:space="0" w:color="auto"/>
                        <w:right w:val="none" w:sz="0" w:space="0" w:color="auto"/>
                      </w:divBdr>
                    </w:div>
                  </w:divsChild>
                </w:div>
                <w:div w:id="1226716734">
                  <w:marLeft w:val="0"/>
                  <w:marRight w:val="0"/>
                  <w:marTop w:val="0"/>
                  <w:marBottom w:val="0"/>
                  <w:divBdr>
                    <w:top w:val="none" w:sz="0" w:space="0" w:color="auto"/>
                    <w:left w:val="none" w:sz="0" w:space="0" w:color="auto"/>
                    <w:bottom w:val="none" w:sz="0" w:space="0" w:color="auto"/>
                    <w:right w:val="none" w:sz="0" w:space="0" w:color="auto"/>
                  </w:divBdr>
                  <w:divsChild>
                    <w:div w:id="715666157">
                      <w:marLeft w:val="0"/>
                      <w:marRight w:val="0"/>
                      <w:marTop w:val="0"/>
                      <w:marBottom w:val="0"/>
                      <w:divBdr>
                        <w:top w:val="none" w:sz="0" w:space="0" w:color="auto"/>
                        <w:left w:val="none" w:sz="0" w:space="0" w:color="auto"/>
                        <w:bottom w:val="none" w:sz="0" w:space="0" w:color="auto"/>
                        <w:right w:val="none" w:sz="0" w:space="0" w:color="auto"/>
                      </w:divBdr>
                    </w:div>
                  </w:divsChild>
                </w:div>
                <w:div w:id="365642320">
                  <w:marLeft w:val="0"/>
                  <w:marRight w:val="0"/>
                  <w:marTop w:val="0"/>
                  <w:marBottom w:val="0"/>
                  <w:divBdr>
                    <w:top w:val="none" w:sz="0" w:space="0" w:color="auto"/>
                    <w:left w:val="none" w:sz="0" w:space="0" w:color="auto"/>
                    <w:bottom w:val="none" w:sz="0" w:space="0" w:color="auto"/>
                    <w:right w:val="none" w:sz="0" w:space="0" w:color="auto"/>
                  </w:divBdr>
                  <w:divsChild>
                    <w:div w:id="58596778">
                      <w:marLeft w:val="0"/>
                      <w:marRight w:val="0"/>
                      <w:marTop w:val="0"/>
                      <w:marBottom w:val="0"/>
                      <w:divBdr>
                        <w:top w:val="none" w:sz="0" w:space="0" w:color="auto"/>
                        <w:left w:val="none" w:sz="0" w:space="0" w:color="auto"/>
                        <w:bottom w:val="none" w:sz="0" w:space="0" w:color="auto"/>
                        <w:right w:val="none" w:sz="0" w:space="0" w:color="auto"/>
                      </w:divBdr>
                    </w:div>
                  </w:divsChild>
                </w:div>
                <w:div w:id="1450201911">
                  <w:marLeft w:val="0"/>
                  <w:marRight w:val="0"/>
                  <w:marTop w:val="0"/>
                  <w:marBottom w:val="0"/>
                  <w:divBdr>
                    <w:top w:val="none" w:sz="0" w:space="0" w:color="auto"/>
                    <w:left w:val="none" w:sz="0" w:space="0" w:color="auto"/>
                    <w:bottom w:val="none" w:sz="0" w:space="0" w:color="auto"/>
                    <w:right w:val="none" w:sz="0" w:space="0" w:color="auto"/>
                  </w:divBdr>
                  <w:divsChild>
                    <w:div w:id="48878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2669">
              <w:marLeft w:val="0"/>
              <w:marRight w:val="0"/>
              <w:marTop w:val="0"/>
              <w:marBottom w:val="0"/>
              <w:divBdr>
                <w:top w:val="none" w:sz="0" w:space="0" w:color="auto"/>
                <w:left w:val="none" w:sz="0" w:space="0" w:color="auto"/>
                <w:bottom w:val="none" w:sz="0" w:space="0" w:color="auto"/>
                <w:right w:val="none" w:sz="0" w:space="0" w:color="auto"/>
              </w:divBdr>
              <w:divsChild>
                <w:div w:id="1066491950">
                  <w:marLeft w:val="0"/>
                  <w:marRight w:val="0"/>
                  <w:marTop w:val="0"/>
                  <w:marBottom w:val="0"/>
                  <w:divBdr>
                    <w:top w:val="none" w:sz="0" w:space="0" w:color="auto"/>
                    <w:left w:val="none" w:sz="0" w:space="0" w:color="auto"/>
                    <w:bottom w:val="none" w:sz="0" w:space="0" w:color="auto"/>
                    <w:right w:val="none" w:sz="0" w:space="0" w:color="auto"/>
                  </w:divBdr>
                  <w:divsChild>
                    <w:div w:id="112592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955132">
          <w:marLeft w:val="0"/>
          <w:marRight w:val="0"/>
          <w:marTop w:val="0"/>
          <w:marBottom w:val="0"/>
          <w:divBdr>
            <w:top w:val="none" w:sz="0" w:space="0" w:color="auto"/>
            <w:left w:val="none" w:sz="0" w:space="0" w:color="auto"/>
            <w:bottom w:val="none" w:sz="0" w:space="0" w:color="auto"/>
            <w:right w:val="none" w:sz="0" w:space="0" w:color="auto"/>
          </w:divBdr>
          <w:divsChild>
            <w:div w:id="254171282">
              <w:marLeft w:val="0"/>
              <w:marRight w:val="0"/>
              <w:marTop w:val="0"/>
              <w:marBottom w:val="0"/>
              <w:divBdr>
                <w:top w:val="none" w:sz="0" w:space="0" w:color="auto"/>
                <w:left w:val="none" w:sz="0" w:space="0" w:color="auto"/>
                <w:bottom w:val="none" w:sz="0" w:space="0" w:color="auto"/>
                <w:right w:val="none" w:sz="0" w:space="0" w:color="auto"/>
              </w:divBdr>
              <w:divsChild>
                <w:div w:id="542718053">
                  <w:marLeft w:val="0"/>
                  <w:marRight w:val="0"/>
                  <w:marTop w:val="0"/>
                  <w:marBottom w:val="0"/>
                  <w:divBdr>
                    <w:top w:val="none" w:sz="0" w:space="0" w:color="auto"/>
                    <w:left w:val="none" w:sz="0" w:space="0" w:color="auto"/>
                    <w:bottom w:val="none" w:sz="0" w:space="0" w:color="auto"/>
                    <w:right w:val="none" w:sz="0" w:space="0" w:color="auto"/>
                  </w:divBdr>
                  <w:divsChild>
                    <w:div w:id="27656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0688624">
      <w:bodyDiv w:val="1"/>
      <w:marLeft w:val="0"/>
      <w:marRight w:val="0"/>
      <w:marTop w:val="0"/>
      <w:marBottom w:val="0"/>
      <w:divBdr>
        <w:top w:val="none" w:sz="0" w:space="0" w:color="auto"/>
        <w:left w:val="none" w:sz="0" w:space="0" w:color="auto"/>
        <w:bottom w:val="none" w:sz="0" w:space="0" w:color="auto"/>
        <w:right w:val="none" w:sz="0" w:space="0" w:color="auto"/>
      </w:divBdr>
      <w:divsChild>
        <w:div w:id="1058552070">
          <w:marLeft w:val="0"/>
          <w:marRight w:val="0"/>
          <w:marTop w:val="0"/>
          <w:marBottom w:val="0"/>
          <w:divBdr>
            <w:top w:val="none" w:sz="0" w:space="0" w:color="auto"/>
            <w:left w:val="none" w:sz="0" w:space="0" w:color="auto"/>
            <w:bottom w:val="none" w:sz="0" w:space="0" w:color="auto"/>
            <w:right w:val="none" w:sz="0" w:space="0" w:color="auto"/>
          </w:divBdr>
          <w:divsChild>
            <w:div w:id="1905722015">
              <w:marLeft w:val="0"/>
              <w:marRight w:val="0"/>
              <w:marTop w:val="0"/>
              <w:marBottom w:val="0"/>
              <w:divBdr>
                <w:top w:val="none" w:sz="0" w:space="0" w:color="auto"/>
                <w:left w:val="none" w:sz="0" w:space="0" w:color="auto"/>
                <w:bottom w:val="none" w:sz="0" w:space="0" w:color="auto"/>
                <w:right w:val="none" w:sz="0" w:space="0" w:color="auto"/>
              </w:divBdr>
              <w:divsChild>
                <w:div w:id="2050491265">
                  <w:marLeft w:val="0"/>
                  <w:marRight w:val="0"/>
                  <w:marTop w:val="0"/>
                  <w:marBottom w:val="0"/>
                  <w:divBdr>
                    <w:top w:val="none" w:sz="0" w:space="0" w:color="auto"/>
                    <w:left w:val="none" w:sz="0" w:space="0" w:color="auto"/>
                    <w:bottom w:val="none" w:sz="0" w:space="0" w:color="auto"/>
                    <w:right w:val="none" w:sz="0" w:space="0" w:color="auto"/>
                  </w:divBdr>
                </w:div>
              </w:divsChild>
            </w:div>
            <w:div w:id="703483504">
              <w:marLeft w:val="0"/>
              <w:marRight w:val="0"/>
              <w:marTop w:val="0"/>
              <w:marBottom w:val="0"/>
              <w:divBdr>
                <w:top w:val="none" w:sz="0" w:space="0" w:color="auto"/>
                <w:left w:val="none" w:sz="0" w:space="0" w:color="auto"/>
                <w:bottom w:val="none" w:sz="0" w:space="0" w:color="auto"/>
                <w:right w:val="none" w:sz="0" w:space="0" w:color="auto"/>
              </w:divBdr>
              <w:divsChild>
                <w:div w:id="50752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06174">
          <w:marLeft w:val="0"/>
          <w:marRight w:val="0"/>
          <w:marTop w:val="0"/>
          <w:marBottom w:val="0"/>
          <w:divBdr>
            <w:top w:val="none" w:sz="0" w:space="0" w:color="auto"/>
            <w:left w:val="none" w:sz="0" w:space="0" w:color="auto"/>
            <w:bottom w:val="none" w:sz="0" w:space="0" w:color="auto"/>
            <w:right w:val="none" w:sz="0" w:space="0" w:color="auto"/>
          </w:divBdr>
          <w:divsChild>
            <w:div w:id="1157842198">
              <w:marLeft w:val="0"/>
              <w:marRight w:val="0"/>
              <w:marTop w:val="0"/>
              <w:marBottom w:val="0"/>
              <w:divBdr>
                <w:top w:val="none" w:sz="0" w:space="0" w:color="auto"/>
                <w:left w:val="none" w:sz="0" w:space="0" w:color="auto"/>
                <w:bottom w:val="none" w:sz="0" w:space="0" w:color="auto"/>
                <w:right w:val="none" w:sz="0" w:space="0" w:color="auto"/>
              </w:divBdr>
              <w:divsChild>
                <w:div w:id="817918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avvmaddalenasisinni@pec.ordineforense.salerno.it" TargetMode="External"/><Relationship Id="rId9" Type="http://schemas.openxmlformats.org/officeDocument/2006/relationships/hyperlink" Target="mailto:g.alati@avvocatinocera-pec.it"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mailto:avvmaddalenasisinni@pec.ordineforense.salerno.it" TargetMode="External"/><Relationship Id="rId2" Type="http://schemas.openxmlformats.org/officeDocument/2006/relationships/hyperlink" Target="mailto:g.alati@avvocatinocera-pec.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EFE308-187C-D247-8D48-DF12A11D8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6168</Words>
  <Characters>35162</Characters>
  <Application>Microsoft Macintosh Word</Application>
  <DocSecurity>0</DocSecurity>
  <Lines>293</Lines>
  <Paragraphs>82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41248</CharactersWithSpaces>
  <SharedDoc>false</SharedDoc>
  <HLinks>
    <vt:vector size="24" baseType="variant">
      <vt:variant>
        <vt:i4>65596</vt:i4>
      </vt:variant>
      <vt:variant>
        <vt:i4>3</vt:i4>
      </vt:variant>
      <vt:variant>
        <vt:i4>0</vt:i4>
      </vt:variant>
      <vt:variant>
        <vt:i4>5</vt:i4>
      </vt:variant>
      <vt:variant>
        <vt:lpwstr>mailto:g.alati@avvocatinocera-pec.it</vt:lpwstr>
      </vt:variant>
      <vt:variant>
        <vt:lpwstr/>
      </vt:variant>
      <vt:variant>
        <vt:i4>7798872</vt:i4>
      </vt:variant>
      <vt:variant>
        <vt:i4>0</vt:i4>
      </vt:variant>
      <vt:variant>
        <vt:i4>0</vt:i4>
      </vt:variant>
      <vt:variant>
        <vt:i4>5</vt:i4>
      </vt:variant>
      <vt:variant>
        <vt:lpwstr>mailto:avvmaddalenasisinni@pec.ordineforense.salerno.it</vt:lpwstr>
      </vt:variant>
      <vt:variant>
        <vt:lpwstr/>
      </vt:variant>
      <vt:variant>
        <vt:i4>65596</vt:i4>
      </vt:variant>
      <vt:variant>
        <vt:i4>3</vt:i4>
      </vt:variant>
      <vt:variant>
        <vt:i4>0</vt:i4>
      </vt:variant>
      <vt:variant>
        <vt:i4>5</vt:i4>
      </vt:variant>
      <vt:variant>
        <vt:lpwstr>mailto:g.alati@avvocatinocera-pec.it</vt:lpwstr>
      </vt:variant>
      <vt:variant>
        <vt:lpwstr/>
      </vt:variant>
      <vt:variant>
        <vt:i4>7798872</vt:i4>
      </vt:variant>
      <vt:variant>
        <vt:i4>0</vt:i4>
      </vt:variant>
      <vt:variant>
        <vt:i4>0</vt:i4>
      </vt:variant>
      <vt:variant>
        <vt:i4>5</vt:i4>
      </vt:variant>
      <vt:variant>
        <vt:lpwstr>mailto:avvmaddalenasisinni@pec.ordineforense.salerno.it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de marco</dc:creator>
  <cp:keywords/>
  <cp:lastModifiedBy>Utente di Microsoft Office</cp:lastModifiedBy>
  <cp:revision>3</cp:revision>
  <cp:lastPrinted>2016-03-22T12:50:00Z</cp:lastPrinted>
  <dcterms:created xsi:type="dcterms:W3CDTF">2016-03-22T12:50:00Z</dcterms:created>
  <dcterms:modified xsi:type="dcterms:W3CDTF">2016-03-22T12:50:00Z</dcterms:modified>
</cp:coreProperties>
</file>